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1C" w:rsidRPr="00C7190C" w:rsidRDefault="006B6A6E" w:rsidP="0008001C">
      <w:pPr>
        <w:jc w:val="center"/>
        <w:rPr>
          <w:rFonts w:ascii="Times New Roman" w:hAnsi="Times New Roman" w:cs="Times New Roman"/>
          <w:b/>
          <w:sz w:val="32"/>
        </w:rPr>
      </w:pPr>
      <w:r w:rsidRPr="00C7190C">
        <w:rPr>
          <w:rFonts w:ascii="Times New Roman" w:hAnsi="Times New Roman" w:cs="Times New Roman"/>
          <w:b/>
          <w:sz w:val="32"/>
        </w:rPr>
        <w:t xml:space="preserve">A Sociological Study </w:t>
      </w:r>
      <w:r w:rsidR="00D0653A" w:rsidRPr="00C7190C">
        <w:rPr>
          <w:rFonts w:ascii="Times New Roman" w:hAnsi="Times New Roman" w:cs="Times New Roman"/>
          <w:b/>
          <w:sz w:val="32"/>
        </w:rPr>
        <w:t xml:space="preserve">of </w:t>
      </w:r>
      <w:r w:rsidRPr="00C7190C">
        <w:rPr>
          <w:rFonts w:ascii="Times New Roman" w:hAnsi="Times New Roman" w:cs="Times New Roman"/>
          <w:b/>
          <w:sz w:val="32"/>
        </w:rPr>
        <w:t xml:space="preserve">Growth </w:t>
      </w:r>
      <w:r w:rsidR="00D0653A" w:rsidRPr="00C7190C">
        <w:rPr>
          <w:rFonts w:ascii="Times New Roman" w:hAnsi="Times New Roman" w:cs="Times New Roman"/>
          <w:b/>
          <w:sz w:val="32"/>
        </w:rPr>
        <w:t xml:space="preserve">in the </w:t>
      </w:r>
      <w:r w:rsidRPr="00C7190C">
        <w:rPr>
          <w:rFonts w:ascii="Times New Roman" w:hAnsi="Times New Roman" w:cs="Times New Roman"/>
          <w:b/>
          <w:sz w:val="32"/>
        </w:rPr>
        <w:t>Economic</w:t>
      </w:r>
      <w:r w:rsidR="00D0653A" w:rsidRPr="00C7190C">
        <w:rPr>
          <w:rFonts w:ascii="Times New Roman" w:hAnsi="Times New Roman" w:cs="Times New Roman"/>
          <w:b/>
          <w:sz w:val="32"/>
        </w:rPr>
        <w:t xml:space="preserve">, </w:t>
      </w:r>
      <w:r w:rsidRPr="00C7190C">
        <w:rPr>
          <w:rFonts w:ascii="Times New Roman" w:hAnsi="Times New Roman" w:cs="Times New Roman"/>
          <w:b/>
          <w:sz w:val="32"/>
        </w:rPr>
        <w:t xml:space="preserve">Health Fitness </w:t>
      </w:r>
      <w:r w:rsidR="00D0653A" w:rsidRPr="00C7190C">
        <w:rPr>
          <w:rFonts w:ascii="Times New Roman" w:hAnsi="Times New Roman" w:cs="Times New Roman"/>
          <w:b/>
          <w:sz w:val="32"/>
        </w:rPr>
        <w:t xml:space="preserve">and </w:t>
      </w:r>
      <w:r w:rsidRPr="00C7190C">
        <w:rPr>
          <w:rFonts w:ascii="Times New Roman" w:hAnsi="Times New Roman" w:cs="Times New Roman"/>
          <w:b/>
          <w:sz w:val="32"/>
        </w:rPr>
        <w:t xml:space="preserve">Education Improvement </w:t>
      </w:r>
    </w:p>
    <w:p w:rsidR="000C6E95" w:rsidRPr="003956BC" w:rsidRDefault="000C6E95" w:rsidP="000C6E95">
      <w:pPr>
        <w:widowControl w:val="0"/>
        <w:autoSpaceDE w:val="0"/>
        <w:autoSpaceDN w:val="0"/>
        <w:adjustRightInd w:val="0"/>
        <w:spacing w:after="0"/>
        <w:jc w:val="center"/>
        <w:rPr>
          <w:rFonts w:ascii="Times New Roman" w:hAnsi="Times New Roman" w:cs="Times New Roman"/>
          <w:b/>
          <w:spacing w:val="-2"/>
          <w:sz w:val="24"/>
          <w:szCs w:val="28"/>
        </w:rPr>
      </w:pPr>
      <w:r w:rsidRPr="003956BC">
        <w:rPr>
          <w:rFonts w:ascii="Times New Roman" w:hAnsi="Times New Roman" w:cs="Times New Roman"/>
          <w:b/>
          <w:spacing w:val="-2"/>
          <w:sz w:val="24"/>
          <w:szCs w:val="28"/>
        </w:rPr>
        <w:t xml:space="preserve">Suman </w:t>
      </w:r>
    </w:p>
    <w:p w:rsidR="000C6E95" w:rsidRPr="003956BC" w:rsidRDefault="000C6E95" w:rsidP="000C6E95">
      <w:pPr>
        <w:widowControl w:val="0"/>
        <w:autoSpaceDE w:val="0"/>
        <w:autoSpaceDN w:val="0"/>
        <w:adjustRightInd w:val="0"/>
        <w:spacing w:after="0"/>
        <w:jc w:val="center"/>
        <w:rPr>
          <w:rFonts w:ascii="Times New Roman" w:hAnsi="Times New Roman" w:cs="Times New Roman"/>
          <w:b/>
          <w:spacing w:val="-2"/>
          <w:sz w:val="24"/>
          <w:szCs w:val="28"/>
        </w:rPr>
      </w:pPr>
      <w:r w:rsidRPr="003956BC">
        <w:rPr>
          <w:rFonts w:ascii="Times New Roman" w:hAnsi="Times New Roman" w:cs="Times New Roman"/>
          <w:b/>
          <w:spacing w:val="-2"/>
          <w:sz w:val="24"/>
          <w:szCs w:val="28"/>
        </w:rPr>
        <w:t xml:space="preserve">Research Scholar, </w:t>
      </w:r>
      <w:r>
        <w:rPr>
          <w:rFonts w:ascii="Times New Roman" w:hAnsi="Times New Roman" w:cs="Times New Roman"/>
          <w:b/>
          <w:spacing w:val="-2"/>
          <w:sz w:val="24"/>
          <w:szCs w:val="28"/>
        </w:rPr>
        <w:t xml:space="preserve">Deptt of Economics , </w:t>
      </w:r>
      <w:r w:rsidRPr="003956BC">
        <w:rPr>
          <w:rFonts w:ascii="Times New Roman" w:hAnsi="Times New Roman" w:cs="Times New Roman"/>
          <w:b/>
          <w:spacing w:val="-2"/>
          <w:sz w:val="24"/>
          <w:szCs w:val="28"/>
        </w:rPr>
        <w:t>MDU Rohtak, Haryana ( India)</w:t>
      </w:r>
    </w:p>
    <w:p w:rsidR="000C6E95" w:rsidRPr="003956BC" w:rsidRDefault="000C6E95" w:rsidP="000C6E95">
      <w:pPr>
        <w:widowControl w:val="0"/>
        <w:autoSpaceDE w:val="0"/>
        <w:autoSpaceDN w:val="0"/>
        <w:adjustRightInd w:val="0"/>
        <w:spacing w:after="0"/>
        <w:jc w:val="center"/>
        <w:rPr>
          <w:rFonts w:ascii="Times New Roman" w:hAnsi="Times New Roman" w:cs="Times New Roman"/>
          <w:b/>
          <w:spacing w:val="-2"/>
          <w:sz w:val="24"/>
          <w:szCs w:val="28"/>
        </w:rPr>
      </w:pPr>
      <w:r w:rsidRPr="003956BC">
        <w:rPr>
          <w:rFonts w:ascii="Times New Roman" w:hAnsi="Times New Roman" w:cs="Times New Roman"/>
          <w:b/>
          <w:spacing w:val="-2"/>
          <w:sz w:val="24"/>
          <w:szCs w:val="28"/>
        </w:rPr>
        <w:t>Email : sumanghanghas246@gmail.com</w:t>
      </w:r>
    </w:p>
    <w:p w:rsidR="0008001C" w:rsidRDefault="0008001C" w:rsidP="0008001C">
      <w:pPr>
        <w:jc w:val="both"/>
        <w:rPr>
          <w:rFonts w:ascii="Times New Roman" w:hAnsi="Times New Roman" w:cs="Times New Roman"/>
          <w:b/>
          <w:sz w:val="24"/>
        </w:rPr>
      </w:pPr>
      <w:r>
        <w:rPr>
          <w:rFonts w:ascii="Times New Roman" w:hAnsi="Times New Roman" w:cs="Times New Roman"/>
          <w:b/>
          <w:sz w:val="24"/>
        </w:rPr>
        <w:t>ABSTRACT:</w:t>
      </w:r>
    </w:p>
    <w:p w:rsidR="0008001C" w:rsidRPr="0008001C" w:rsidRDefault="0008001C" w:rsidP="0008001C">
      <w:pPr>
        <w:spacing w:line="360" w:lineRule="auto"/>
        <w:jc w:val="both"/>
        <w:rPr>
          <w:rFonts w:ascii="Times New Roman" w:hAnsi="Times New Roman" w:cs="Times New Roman"/>
          <w:sz w:val="24"/>
        </w:rPr>
      </w:pPr>
      <w:r w:rsidRPr="0008001C">
        <w:rPr>
          <w:rFonts w:ascii="Times New Roman" w:hAnsi="Times New Roman" w:cs="Times New Roman"/>
          <w:sz w:val="24"/>
        </w:rPr>
        <w:t xml:space="preserve">This paper reviews recent research on the relationship between education and </w:t>
      </w:r>
      <w:r w:rsidR="002D7419">
        <w:rPr>
          <w:rFonts w:ascii="Times New Roman" w:hAnsi="Times New Roman" w:cs="Times New Roman"/>
          <w:sz w:val="24"/>
        </w:rPr>
        <w:t>health fitness</w:t>
      </w:r>
      <w:r w:rsidRPr="0008001C">
        <w:rPr>
          <w:rFonts w:ascii="Times New Roman" w:hAnsi="Times New Roman" w:cs="Times New Roman"/>
          <w:sz w:val="24"/>
        </w:rPr>
        <w:t xml:space="preserve"> in poor countries. </w:t>
      </w:r>
      <w:r w:rsidR="002D7419" w:rsidRPr="0008001C">
        <w:rPr>
          <w:rFonts w:ascii="Times New Roman" w:hAnsi="Times New Roman" w:cs="Times New Roman"/>
          <w:sz w:val="24"/>
        </w:rPr>
        <w:t xml:space="preserve">Across generations, the </w:t>
      </w:r>
      <w:r w:rsidR="002D7419">
        <w:rPr>
          <w:rFonts w:ascii="Times New Roman" w:hAnsi="Times New Roman" w:cs="Times New Roman"/>
          <w:sz w:val="24"/>
        </w:rPr>
        <w:t>health fitness</w:t>
      </w:r>
      <w:r w:rsidR="002D7419" w:rsidRPr="0008001C">
        <w:rPr>
          <w:rFonts w:ascii="Times New Roman" w:hAnsi="Times New Roman" w:cs="Times New Roman"/>
          <w:sz w:val="24"/>
        </w:rPr>
        <w:t xml:space="preserve"> and education </w:t>
      </w:r>
      <w:r w:rsidR="002D7419">
        <w:rPr>
          <w:rFonts w:ascii="Times New Roman" w:hAnsi="Times New Roman" w:cs="Times New Roman"/>
          <w:sz w:val="24"/>
        </w:rPr>
        <w:t>of parents—particularly mothers-</w:t>
      </w:r>
      <w:r w:rsidR="002D7419" w:rsidRPr="0008001C">
        <w:rPr>
          <w:rFonts w:ascii="Times New Roman" w:hAnsi="Times New Roman" w:cs="Times New Roman"/>
          <w:sz w:val="24"/>
        </w:rPr>
        <w:t>boost both outcomes in their children.</w:t>
      </w:r>
      <w:r w:rsidR="002D7419">
        <w:rPr>
          <w:rFonts w:ascii="Times New Roman" w:hAnsi="Times New Roman" w:cs="Times New Roman"/>
          <w:sz w:val="24"/>
        </w:rPr>
        <w:t xml:space="preserve"> </w:t>
      </w:r>
      <w:r w:rsidRPr="0008001C">
        <w:rPr>
          <w:rFonts w:ascii="Times New Roman" w:hAnsi="Times New Roman" w:cs="Times New Roman"/>
          <w:sz w:val="24"/>
        </w:rPr>
        <w:t xml:space="preserve">Multiple causal pathways link the two domains, across different phases of an individual’s lifecycle and across generations in a family. Within an individual, childhood </w:t>
      </w:r>
      <w:r w:rsidR="002D7419">
        <w:rPr>
          <w:rFonts w:ascii="Times New Roman" w:hAnsi="Times New Roman" w:cs="Times New Roman"/>
          <w:sz w:val="24"/>
        </w:rPr>
        <w:t>health fitness</w:t>
      </w:r>
      <w:r w:rsidRPr="0008001C">
        <w:rPr>
          <w:rFonts w:ascii="Times New Roman" w:hAnsi="Times New Roman" w:cs="Times New Roman"/>
          <w:sz w:val="24"/>
        </w:rPr>
        <w:t xml:space="preserve"> enhances schooling outcomes, longevity incentivizes human capital investment, and education improves adult </w:t>
      </w:r>
      <w:r w:rsidR="002D7419">
        <w:rPr>
          <w:rFonts w:ascii="Times New Roman" w:hAnsi="Times New Roman" w:cs="Times New Roman"/>
          <w:sz w:val="24"/>
        </w:rPr>
        <w:t>health fitness</w:t>
      </w:r>
      <w:r w:rsidRPr="0008001C">
        <w:rPr>
          <w:rFonts w:ascii="Times New Roman" w:hAnsi="Times New Roman" w:cs="Times New Roman"/>
          <w:sz w:val="24"/>
        </w:rPr>
        <w:t>.</w:t>
      </w:r>
      <w:r>
        <w:rPr>
          <w:rFonts w:ascii="Times New Roman" w:hAnsi="Times New Roman" w:cs="Times New Roman"/>
          <w:sz w:val="24"/>
        </w:rPr>
        <w:t xml:space="preserve"> </w:t>
      </w:r>
    </w:p>
    <w:p w:rsidR="0008001C" w:rsidRDefault="0008001C" w:rsidP="0008001C">
      <w:pPr>
        <w:spacing w:line="360" w:lineRule="auto"/>
        <w:jc w:val="both"/>
      </w:pPr>
      <w:r>
        <w:rPr>
          <w:rFonts w:ascii="Times New Roman" w:hAnsi="Times New Roman" w:cs="Times New Roman"/>
          <w:b/>
          <w:sz w:val="24"/>
        </w:rPr>
        <w:t xml:space="preserve">KEYWORDS: </w:t>
      </w:r>
      <w:r w:rsidRPr="0008001C">
        <w:rPr>
          <w:rFonts w:ascii="Times New Roman" w:hAnsi="Times New Roman" w:cs="Times New Roman"/>
          <w:sz w:val="24"/>
        </w:rPr>
        <w:t>Social development</w:t>
      </w:r>
      <w:r>
        <w:rPr>
          <w:rFonts w:ascii="Times New Roman" w:hAnsi="Times New Roman" w:cs="Times New Roman"/>
          <w:sz w:val="24"/>
        </w:rPr>
        <w:t>,</w:t>
      </w:r>
      <w:r w:rsidRPr="0008001C">
        <w:rPr>
          <w:rFonts w:ascii="Times New Roman" w:hAnsi="Times New Roman" w:cs="Times New Roman"/>
          <w:sz w:val="24"/>
        </w:rPr>
        <w:t xml:space="preserve"> economic, </w:t>
      </w:r>
      <w:r w:rsidR="002D7419">
        <w:rPr>
          <w:rFonts w:ascii="Times New Roman" w:hAnsi="Times New Roman" w:cs="Times New Roman"/>
          <w:sz w:val="24"/>
        </w:rPr>
        <w:t>health fitness</w:t>
      </w:r>
      <w:r>
        <w:rPr>
          <w:rFonts w:ascii="Times New Roman" w:hAnsi="Times New Roman" w:cs="Times New Roman"/>
          <w:sz w:val="24"/>
        </w:rPr>
        <w:t>,</w:t>
      </w:r>
      <w:r w:rsidRPr="0008001C">
        <w:rPr>
          <w:rFonts w:ascii="Times New Roman" w:hAnsi="Times New Roman" w:cs="Times New Roman"/>
          <w:sz w:val="24"/>
        </w:rPr>
        <w:t xml:space="preserve"> education development</w:t>
      </w:r>
      <w:r>
        <w:rPr>
          <w:rFonts w:ascii="Times New Roman" w:hAnsi="Times New Roman" w:cs="Times New Roman"/>
          <w:sz w:val="24"/>
        </w:rPr>
        <w:t>,</w:t>
      </w:r>
      <w:r>
        <w:rPr>
          <w:rFonts w:ascii="Times New Roman" w:hAnsi="Times New Roman" w:cs="Times New Roman"/>
          <w:b/>
          <w:sz w:val="24"/>
        </w:rPr>
        <w:t xml:space="preserve"> </w:t>
      </w:r>
      <w:r w:rsidRPr="0008001C">
        <w:rPr>
          <w:rFonts w:ascii="Times New Roman" w:hAnsi="Times New Roman" w:cs="Times New Roman"/>
          <w:sz w:val="24"/>
        </w:rPr>
        <w:t>childhood</w:t>
      </w:r>
      <w:r>
        <w:rPr>
          <w:rFonts w:ascii="Times New Roman" w:hAnsi="Times New Roman" w:cs="Times New Roman"/>
          <w:sz w:val="24"/>
        </w:rPr>
        <w:t xml:space="preserve">, </w:t>
      </w:r>
      <w:r w:rsidRPr="0008001C">
        <w:rPr>
          <w:rFonts w:ascii="Times New Roman" w:hAnsi="Times New Roman" w:cs="Times New Roman"/>
          <w:sz w:val="24"/>
        </w:rPr>
        <w:t>human</w:t>
      </w:r>
      <w:r>
        <w:rPr>
          <w:rFonts w:ascii="Times New Roman" w:hAnsi="Times New Roman" w:cs="Times New Roman"/>
          <w:sz w:val="24"/>
        </w:rPr>
        <w:t xml:space="preserve">, parents, </w:t>
      </w:r>
      <w:r w:rsidRPr="0008001C">
        <w:rPr>
          <w:rFonts w:ascii="Times New Roman" w:hAnsi="Times New Roman" w:cs="Times New Roman"/>
          <w:sz w:val="24"/>
        </w:rPr>
        <w:t>children</w:t>
      </w:r>
      <w:r>
        <w:rPr>
          <w:rFonts w:ascii="Times New Roman" w:hAnsi="Times New Roman" w:cs="Times New Roman"/>
          <w:sz w:val="24"/>
        </w:rPr>
        <w:t>.</w:t>
      </w:r>
    </w:p>
    <w:p w:rsidR="0008001C" w:rsidRDefault="0008001C" w:rsidP="0008001C">
      <w:pPr>
        <w:jc w:val="both"/>
        <w:rPr>
          <w:rFonts w:ascii="Times New Roman" w:hAnsi="Times New Roman" w:cs="Times New Roman"/>
          <w:b/>
          <w:sz w:val="24"/>
        </w:rPr>
      </w:pPr>
      <w:r>
        <w:rPr>
          <w:rFonts w:ascii="Times New Roman" w:hAnsi="Times New Roman" w:cs="Times New Roman"/>
          <w:b/>
          <w:sz w:val="24"/>
        </w:rPr>
        <w:t>INTRODUCTION:</w:t>
      </w:r>
    </w:p>
    <w:p w:rsidR="002D7419" w:rsidRDefault="002D7419" w:rsidP="0008001C">
      <w:pPr>
        <w:spacing w:line="360" w:lineRule="auto"/>
        <w:jc w:val="both"/>
        <w:rPr>
          <w:rFonts w:ascii="Times New Roman" w:hAnsi="Times New Roman" w:cs="Times New Roman"/>
          <w:sz w:val="24"/>
        </w:rPr>
      </w:pPr>
      <w:r w:rsidRPr="0008001C">
        <w:rPr>
          <w:rFonts w:ascii="Times New Roman" w:hAnsi="Times New Roman" w:cs="Times New Roman"/>
          <w:sz w:val="24"/>
        </w:rPr>
        <w:t xml:space="preserve">This </w:t>
      </w:r>
      <w:r>
        <w:rPr>
          <w:rFonts w:ascii="Times New Roman" w:hAnsi="Times New Roman" w:cs="Times New Roman"/>
          <w:sz w:val="24"/>
        </w:rPr>
        <w:t>paper</w:t>
      </w:r>
      <w:r w:rsidRPr="0008001C">
        <w:rPr>
          <w:rFonts w:ascii="Times New Roman" w:hAnsi="Times New Roman" w:cs="Times New Roman"/>
          <w:sz w:val="24"/>
        </w:rPr>
        <w:t xml:space="preserve"> gives an overview of the current state of knowledge on the relationships linking </w:t>
      </w:r>
      <w:r>
        <w:rPr>
          <w:rFonts w:ascii="Times New Roman" w:hAnsi="Times New Roman" w:cs="Times New Roman"/>
          <w:sz w:val="24"/>
        </w:rPr>
        <w:t>health fitness</w:t>
      </w:r>
      <w:r w:rsidRPr="0008001C">
        <w:rPr>
          <w:rFonts w:ascii="Times New Roman" w:hAnsi="Times New Roman" w:cs="Times New Roman"/>
          <w:sz w:val="24"/>
        </w:rPr>
        <w:t xml:space="preserve"> and education in developing countries. To emphasize the dynamic aspects of these relationships, the </w:t>
      </w:r>
      <w:r>
        <w:rPr>
          <w:rFonts w:ascii="Times New Roman" w:hAnsi="Times New Roman" w:cs="Times New Roman"/>
          <w:sz w:val="24"/>
        </w:rPr>
        <w:t>paper</w:t>
      </w:r>
      <w:r w:rsidRPr="0008001C">
        <w:rPr>
          <w:rFonts w:ascii="Times New Roman" w:hAnsi="Times New Roman" w:cs="Times New Roman"/>
          <w:sz w:val="24"/>
        </w:rPr>
        <w:t xml:space="preserve"> will trace them out first within a generation, between childhood and adulthood, and then across generations, from parents to children. It will focus on reduced form evidence of these effects rather than efforts to precisely pin down mechanisms, for two reasons.</w:t>
      </w:r>
      <w:r>
        <w:rPr>
          <w:rFonts w:ascii="Times New Roman" w:hAnsi="Times New Roman" w:cs="Times New Roman"/>
          <w:sz w:val="24"/>
        </w:rPr>
        <w:t xml:space="preserve"> First, the existing literature </w:t>
      </w:r>
      <w:r w:rsidRPr="0008001C">
        <w:rPr>
          <w:rFonts w:ascii="Times New Roman" w:hAnsi="Times New Roman" w:cs="Times New Roman"/>
          <w:sz w:val="24"/>
        </w:rPr>
        <w:t>especial</w:t>
      </w:r>
      <w:r>
        <w:rPr>
          <w:rFonts w:ascii="Times New Roman" w:hAnsi="Times New Roman" w:cs="Times New Roman"/>
          <w:sz w:val="24"/>
        </w:rPr>
        <w:t xml:space="preserve">ly that on developing countries </w:t>
      </w:r>
      <w:r w:rsidRPr="0008001C">
        <w:rPr>
          <w:rFonts w:ascii="Times New Roman" w:hAnsi="Times New Roman" w:cs="Times New Roman"/>
          <w:sz w:val="24"/>
        </w:rPr>
        <w:t>has simply</w:t>
      </w:r>
      <w:r>
        <w:rPr>
          <w:rFonts w:ascii="Times New Roman" w:hAnsi="Times New Roman" w:cs="Times New Roman"/>
          <w:sz w:val="24"/>
        </w:rPr>
        <w:t xml:space="preserve"> </w:t>
      </w:r>
      <w:r w:rsidRPr="0008001C">
        <w:rPr>
          <w:rFonts w:ascii="Times New Roman" w:hAnsi="Times New Roman" w:cs="Times New Roman"/>
          <w:sz w:val="24"/>
        </w:rPr>
        <w:t>generated more evidence on these reduced-form relationships</w:t>
      </w:r>
      <w:r>
        <w:rPr>
          <w:rFonts w:ascii="Times New Roman" w:hAnsi="Times New Roman" w:cs="Times New Roman"/>
          <w:sz w:val="24"/>
        </w:rPr>
        <w:t xml:space="preserve"> [3]</w:t>
      </w:r>
      <w:r w:rsidRPr="0008001C">
        <w:rPr>
          <w:rFonts w:ascii="Times New Roman" w:hAnsi="Times New Roman" w:cs="Times New Roman"/>
          <w:sz w:val="24"/>
        </w:rPr>
        <w:t>. Mechanisms have received some attention, but the evidence comes primarily from wealthy countries, and even that evidence remains sparse.</w:t>
      </w:r>
    </w:p>
    <w:p w:rsidR="002D7419" w:rsidRDefault="002D7419" w:rsidP="0008001C">
      <w:pPr>
        <w:spacing w:line="360" w:lineRule="auto"/>
        <w:jc w:val="both"/>
        <w:rPr>
          <w:rFonts w:ascii="Times New Roman" w:hAnsi="Times New Roman" w:cs="Times New Roman"/>
          <w:sz w:val="24"/>
        </w:rPr>
      </w:pPr>
      <w:r w:rsidRPr="0008001C">
        <w:rPr>
          <w:rFonts w:ascii="Times New Roman" w:hAnsi="Times New Roman" w:cs="Times New Roman"/>
          <w:sz w:val="24"/>
        </w:rPr>
        <w:t xml:space="preserve">Associations between </w:t>
      </w:r>
      <w:r>
        <w:rPr>
          <w:rFonts w:ascii="Times New Roman" w:hAnsi="Times New Roman" w:cs="Times New Roman"/>
          <w:sz w:val="24"/>
        </w:rPr>
        <w:t>health fitness</w:t>
      </w:r>
      <w:r w:rsidRPr="0008001C">
        <w:rPr>
          <w:rFonts w:ascii="Times New Roman" w:hAnsi="Times New Roman" w:cs="Times New Roman"/>
          <w:sz w:val="24"/>
        </w:rPr>
        <w:t xml:space="preserve"> and education are not new, but with such tangled causal pathways, these associations sometimes prove to be uninformative.</w:t>
      </w:r>
      <w:r>
        <w:rPr>
          <w:rFonts w:ascii="Times New Roman" w:hAnsi="Times New Roman" w:cs="Times New Roman"/>
          <w:sz w:val="24"/>
        </w:rPr>
        <w:t xml:space="preserve"> </w:t>
      </w:r>
      <w:r w:rsidRPr="0008001C">
        <w:rPr>
          <w:rFonts w:ascii="Times New Roman" w:hAnsi="Times New Roman" w:cs="Times New Roman"/>
          <w:sz w:val="24"/>
        </w:rPr>
        <w:t>The recent literature in economics has made its main contribution in causal inference. Analyses of natural experiments and prospective trials have shed new light on long-standin</w:t>
      </w:r>
      <w:r>
        <w:rPr>
          <w:rFonts w:ascii="Times New Roman" w:hAnsi="Times New Roman" w:cs="Times New Roman"/>
          <w:sz w:val="24"/>
        </w:rPr>
        <w:t>g hypotheses. They have also im</w:t>
      </w:r>
      <w:r w:rsidRPr="0008001C">
        <w:rPr>
          <w:rFonts w:ascii="Times New Roman" w:hAnsi="Times New Roman" w:cs="Times New Roman"/>
          <w:sz w:val="24"/>
        </w:rPr>
        <w:t xml:space="preserve">proved our ability to interpret careful associational studies, which are in many cases more generalizable than experimental studies but less internally valid. These advances have been key </w:t>
      </w:r>
      <w:r w:rsidRPr="0008001C">
        <w:rPr>
          <w:rFonts w:ascii="Times New Roman" w:hAnsi="Times New Roman" w:cs="Times New Roman"/>
          <w:sz w:val="24"/>
        </w:rPr>
        <w:lastRenderedPageBreak/>
        <w:t xml:space="preserve">to identifying both the direction and the timing of effects in the causal system linking education and </w:t>
      </w:r>
      <w:r>
        <w:rPr>
          <w:rFonts w:ascii="Times New Roman" w:hAnsi="Times New Roman" w:cs="Times New Roman"/>
          <w:sz w:val="24"/>
        </w:rPr>
        <w:t>health fitness</w:t>
      </w:r>
      <w:r w:rsidRPr="0008001C">
        <w:rPr>
          <w:rFonts w:ascii="Times New Roman" w:hAnsi="Times New Roman" w:cs="Times New Roman"/>
          <w:sz w:val="24"/>
        </w:rPr>
        <w:t>. With this better understanding of what matters and when, policymakers will be better equipped to identify opportunities for well-targeted policies</w:t>
      </w:r>
      <w:r>
        <w:rPr>
          <w:rFonts w:ascii="Times New Roman" w:hAnsi="Times New Roman" w:cs="Times New Roman"/>
          <w:sz w:val="24"/>
        </w:rPr>
        <w:t xml:space="preserve"> [4]</w:t>
      </w:r>
      <w:r w:rsidRPr="0008001C">
        <w:rPr>
          <w:rFonts w:ascii="Times New Roman" w:hAnsi="Times New Roman" w:cs="Times New Roman"/>
          <w:sz w:val="24"/>
        </w:rPr>
        <w:t>.</w:t>
      </w:r>
      <w:r>
        <w:rPr>
          <w:rFonts w:ascii="Times New Roman" w:hAnsi="Times New Roman" w:cs="Times New Roman"/>
          <w:sz w:val="24"/>
        </w:rPr>
        <w:t xml:space="preserve"> </w:t>
      </w:r>
    </w:p>
    <w:p w:rsidR="0008001C" w:rsidRDefault="0008001C" w:rsidP="0008001C">
      <w:pPr>
        <w:spacing w:line="360" w:lineRule="auto"/>
        <w:jc w:val="both"/>
        <w:rPr>
          <w:rFonts w:ascii="Times New Roman" w:hAnsi="Times New Roman" w:cs="Times New Roman"/>
          <w:sz w:val="24"/>
        </w:rPr>
      </w:pPr>
      <w:r w:rsidRPr="0008001C">
        <w:rPr>
          <w:rFonts w:ascii="Times New Roman" w:hAnsi="Times New Roman" w:cs="Times New Roman"/>
          <w:sz w:val="24"/>
        </w:rPr>
        <w:t>In the course of development, few processes are as intertwined with economic growth as human capital accumulation. Schooling makes workers more productive, speeds the development of new technologies, and better equips parents to raise skilled children, all of which promote economic growth.</w:t>
      </w:r>
      <w:r>
        <w:rPr>
          <w:rFonts w:ascii="Times New Roman" w:hAnsi="Times New Roman" w:cs="Times New Roman"/>
          <w:sz w:val="24"/>
        </w:rPr>
        <w:t xml:space="preserve"> </w:t>
      </w:r>
      <w:r w:rsidRPr="0008001C">
        <w:rPr>
          <w:rFonts w:ascii="Times New Roman" w:hAnsi="Times New Roman" w:cs="Times New Roman"/>
          <w:sz w:val="24"/>
        </w:rPr>
        <w:t>Growth, in turn, incentivizes investment in human capital. Causal links point in every direction, traversing phases of the lifecycle as well as generations</w:t>
      </w:r>
      <w:r w:rsidR="00A05ED8">
        <w:rPr>
          <w:rFonts w:ascii="Times New Roman" w:hAnsi="Times New Roman" w:cs="Times New Roman"/>
          <w:sz w:val="24"/>
        </w:rPr>
        <w:t xml:space="preserve"> [1]</w:t>
      </w:r>
      <w:r w:rsidRPr="0008001C">
        <w:rPr>
          <w:rFonts w:ascii="Times New Roman" w:hAnsi="Times New Roman" w:cs="Times New Roman"/>
          <w:sz w:val="24"/>
        </w:rPr>
        <w:t>.</w:t>
      </w:r>
      <w:r>
        <w:rPr>
          <w:rFonts w:ascii="Times New Roman" w:hAnsi="Times New Roman" w:cs="Times New Roman"/>
          <w:sz w:val="24"/>
        </w:rPr>
        <w:t xml:space="preserve"> </w:t>
      </w:r>
      <w:r w:rsidRPr="0008001C">
        <w:rPr>
          <w:rFonts w:ascii="Times New Roman" w:hAnsi="Times New Roman" w:cs="Times New Roman"/>
          <w:sz w:val="24"/>
        </w:rPr>
        <w:t xml:space="preserve">The entangled role of human capital is not limited to aggregate income growth, however. Education exhibits complex dynamic relationships with several components of wellbeing, including </w:t>
      </w:r>
      <w:r w:rsidR="002D7419">
        <w:rPr>
          <w:rFonts w:ascii="Times New Roman" w:hAnsi="Times New Roman" w:cs="Times New Roman"/>
          <w:sz w:val="24"/>
        </w:rPr>
        <w:t>health fitness</w:t>
      </w:r>
      <w:r w:rsidRPr="0008001C">
        <w:rPr>
          <w:rFonts w:ascii="Times New Roman" w:hAnsi="Times New Roman" w:cs="Times New Roman"/>
          <w:sz w:val="24"/>
        </w:rPr>
        <w:t xml:space="preserve">. For example, education affects </w:t>
      </w:r>
      <w:r w:rsidR="002D7419">
        <w:rPr>
          <w:rFonts w:ascii="Times New Roman" w:hAnsi="Times New Roman" w:cs="Times New Roman"/>
          <w:sz w:val="24"/>
        </w:rPr>
        <w:t>health fitness</w:t>
      </w:r>
      <w:r w:rsidRPr="0008001C">
        <w:rPr>
          <w:rFonts w:ascii="Times New Roman" w:hAnsi="Times New Roman" w:cs="Times New Roman"/>
          <w:sz w:val="24"/>
        </w:rPr>
        <w:t xml:space="preserve"> in adulthood; life expectancy affects educational investment in childhood; and the </w:t>
      </w:r>
      <w:r w:rsidR="002D7419">
        <w:rPr>
          <w:rFonts w:ascii="Times New Roman" w:hAnsi="Times New Roman" w:cs="Times New Roman"/>
          <w:sz w:val="24"/>
        </w:rPr>
        <w:t>health fitness</w:t>
      </w:r>
      <w:r>
        <w:rPr>
          <w:rFonts w:ascii="Times New Roman" w:hAnsi="Times New Roman" w:cs="Times New Roman"/>
          <w:sz w:val="24"/>
        </w:rPr>
        <w:t xml:space="preserve"> and education of parents </w:t>
      </w:r>
      <w:r w:rsidRPr="0008001C">
        <w:rPr>
          <w:rFonts w:ascii="Times New Roman" w:hAnsi="Times New Roman" w:cs="Times New Roman"/>
          <w:sz w:val="24"/>
        </w:rPr>
        <w:t xml:space="preserve">particularly </w:t>
      </w:r>
      <w:r>
        <w:rPr>
          <w:rFonts w:ascii="Times New Roman" w:hAnsi="Times New Roman" w:cs="Times New Roman"/>
          <w:sz w:val="24"/>
        </w:rPr>
        <w:t xml:space="preserve">mothers </w:t>
      </w:r>
      <w:r w:rsidRPr="0008001C">
        <w:rPr>
          <w:rFonts w:ascii="Times New Roman" w:hAnsi="Times New Roman" w:cs="Times New Roman"/>
          <w:sz w:val="24"/>
        </w:rPr>
        <w:t>affect both outcomes in their children</w:t>
      </w:r>
      <w:r w:rsidR="00A05ED8">
        <w:rPr>
          <w:rFonts w:ascii="Times New Roman" w:hAnsi="Times New Roman" w:cs="Times New Roman"/>
          <w:sz w:val="24"/>
        </w:rPr>
        <w:t xml:space="preserve"> [2]</w:t>
      </w:r>
      <w:r w:rsidRPr="0008001C">
        <w:rPr>
          <w:rFonts w:ascii="Times New Roman" w:hAnsi="Times New Roman" w:cs="Times New Roman"/>
          <w:sz w:val="24"/>
        </w:rPr>
        <w:t xml:space="preserve">. Just as with income, these relationships are likely to </w:t>
      </w:r>
      <w:r w:rsidR="00070909" w:rsidRPr="0008001C">
        <w:rPr>
          <w:rFonts w:ascii="Times New Roman" w:hAnsi="Times New Roman" w:cs="Times New Roman"/>
          <w:sz w:val="24"/>
        </w:rPr>
        <w:t>be especially</w:t>
      </w:r>
      <w:r w:rsidRPr="0008001C">
        <w:rPr>
          <w:rFonts w:ascii="Times New Roman" w:hAnsi="Times New Roman" w:cs="Times New Roman"/>
          <w:sz w:val="24"/>
        </w:rPr>
        <w:t xml:space="preserve"> important in developing countries, where levels of both schooling and </w:t>
      </w:r>
      <w:r w:rsidR="002D7419">
        <w:rPr>
          <w:rFonts w:ascii="Times New Roman" w:hAnsi="Times New Roman" w:cs="Times New Roman"/>
          <w:sz w:val="24"/>
        </w:rPr>
        <w:t>health fitness</w:t>
      </w:r>
      <w:r w:rsidRPr="0008001C">
        <w:rPr>
          <w:rFonts w:ascii="Times New Roman" w:hAnsi="Times New Roman" w:cs="Times New Roman"/>
          <w:sz w:val="24"/>
        </w:rPr>
        <w:t xml:space="preserve"> are low but have risen rapidly over the past half-century.</w:t>
      </w:r>
    </w:p>
    <w:p w:rsidR="00BB3014" w:rsidRPr="00547D4F" w:rsidRDefault="00BB3014" w:rsidP="00BB3014">
      <w:pPr>
        <w:spacing w:line="360" w:lineRule="auto"/>
        <w:jc w:val="both"/>
        <w:rPr>
          <w:rFonts w:ascii="Times New Roman" w:hAnsi="Times New Roman" w:cs="Times New Roman"/>
          <w:b/>
          <w:sz w:val="24"/>
        </w:rPr>
      </w:pPr>
      <w:r w:rsidRPr="00547D4F">
        <w:rPr>
          <w:rFonts w:ascii="Times New Roman" w:hAnsi="Times New Roman" w:cs="Times New Roman"/>
          <w:b/>
          <w:sz w:val="24"/>
        </w:rPr>
        <w:t>ECONOMIC RESOURCES AND HUMAN CAPITAL</w:t>
      </w:r>
      <w:r>
        <w:rPr>
          <w:rFonts w:ascii="Times New Roman" w:hAnsi="Times New Roman" w:cs="Times New Roman"/>
          <w:b/>
          <w:sz w:val="24"/>
        </w:rPr>
        <w:t>:</w:t>
      </w:r>
      <w:r w:rsidRPr="00547D4F">
        <w:rPr>
          <w:rFonts w:ascii="Times New Roman" w:hAnsi="Times New Roman" w:cs="Times New Roman"/>
          <w:b/>
          <w:sz w:val="24"/>
        </w:rPr>
        <w:t xml:space="preserve"> </w:t>
      </w:r>
      <w:r>
        <w:rPr>
          <w:rFonts w:ascii="Times New Roman" w:hAnsi="Times New Roman" w:cs="Times New Roman"/>
          <w:b/>
          <w:sz w:val="24"/>
        </w:rPr>
        <w:t xml:space="preserve"> </w:t>
      </w:r>
    </w:p>
    <w:p w:rsidR="00BB3014" w:rsidRPr="00B154A7" w:rsidRDefault="00BB3014" w:rsidP="00BB3014">
      <w:pPr>
        <w:spacing w:line="360" w:lineRule="auto"/>
        <w:jc w:val="both"/>
        <w:rPr>
          <w:rFonts w:ascii="Times New Roman" w:hAnsi="Times New Roman" w:cs="Times New Roman"/>
          <w:sz w:val="24"/>
        </w:rPr>
      </w:pPr>
      <w:r w:rsidRPr="00547D4F">
        <w:rPr>
          <w:rFonts w:ascii="Times New Roman" w:hAnsi="Times New Roman" w:cs="Times New Roman"/>
          <w:sz w:val="24"/>
        </w:rPr>
        <w:t>According to the Human De</w:t>
      </w:r>
      <w:r>
        <w:rPr>
          <w:rFonts w:ascii="Times New Roman" w:hAnsi="Times New Roman" w:cs="Times New Roman"/>
          <w:sz w:val="24"/>
        </w:rPr>
        <w:t>velopment Approach (HDA),</w:t>
      </w:r>
      <w:r w:rsidRPr="00547D4F">
        <w:rPr>
          <w:rFonts w:ascii="Times New Roman" w:hAnsi="Times New Roman" w:cs="Times New Roman"/>
          <w:sz w:val="24"/>
        </w:rPr>
        <w:t xml:space="preserve"> economic resources are important only if people are finally able to convert them into something valuable by itself. “People value </w:t>
      </w:r>
      <w:r>
        <w:rPr>
          <w:rFonts w:ascii="Times New Roman" w:hAnsi="Times New Roman" w:cs="Times New Roman"/>
          <w:sz w:val="24"/>
        </w:rPr>
        <w:t xml:space="preserve">commodities </w:t>
      </w:r>
      <w:r w:rsidRPr="00547D4F">
        <w:rPr>
          <w:rFonts w:ascii="Times New Roman" w:hAnsi="Times New Roman" w:cs="Times New Roman"/>
          <w:sz w:val="24"/>
        </w:rPr>
        <w:t>not in their own right but for their characteristics and for the needs they meet”. These authors criticize the vision of development for being purely economic, readdress it as a process of enlarging people’s choice to live a life they value), through an increase of valuable human freedoms</w:t>
      </w:r>
      <w:r>
        <w:rPr>
          <w:rFonts w:ascii="Times New Roman" w:hAnsi="Times New Roman" w:cs="Times New Roman"/>
          <w:sz w:val="24"/>
        </w:rPr>
        <w:t xml:space="preserve"> [12]</w:t>
      </w:r>
      <w:r w:rsidRPr="00547D4F">
        <w:rPr>
          <w:rFonts w:ascii="Times New Roman" w:hAnsi="Times New Roman" w:cs="Times New Roman"/>
          <w:sz w:val="24"/>
        </w:rPr>
        <w:t>. In this</w:t>
      </w:r>
      <w:r>
        <w:rPr>
          <w:rFonts w:ascii="Times New Roman" w:hAnsi="Times New Roman" w:cs="Times New Roman"/>
          <w:sz w:val="24"/>
        </w:rPr>
        <w:t xml:space="preserve"> </w:t>
      </w:r>
      <w:r w:rsidRPr="00B154A7">
        <w:rPr>
          <w:rFonts w:ascii="Times New Roman" w:hAnsi="Times New Roman" w:cs="Times New Roman"/>
          <w:sz w:val="24"/>
        </w:rPr>
        <w:t xml:space="preserve">context, income and other economic resources are an “intermediate goal” and important instruments to promote development, but they are neither necessary nor sufficient to enlarge people’s freedoms. Therefore, new ends of development should be identified: among others, the supporters of the HDA focus on having a long and </w:t>
      </w:r>
      <w:r>
        <w:rPr>
          <w:rFonts w:ascii="Times New Roman" w:hAnsi="Times New Roman" w:cs="Times New Roman"/>
          <w:sz w:val="24"/>
        </w:rPr>
        <w:t>health fitness</w:t>
      </w:r>
      <w:r w:rsidRPr="00B154A7">
        <w:rPr>
          <w:rFonts w:ascii="Times New Roman" w:hAnsi="Times New Roman" w:cs="Times New Roman"/>
          <w:sz w:val="24"/>
        </w:rPr>
        <w:t xml:space="preserve">y life, being adequately nourished, and being educated. </w:t>
      </w:r>
    </w:p>
    <w:p w:rsidR="00BB3014" w:rsidRDefault="00BB3014" w:rsidP="00BB3014">
      <w:pPr>
        <w:spacing w:line="360" w:lineRule="auto"/>
        <w:jc w:val="both"/>
        <w:rPr>
          <w:rFonts w:ascii="Times New Roman" w:hAnsi="Times New Roman" w:cs="Times New Roman"/>
          <w:sz w:val="24"/>
        </w:rPr>
      </w:pPr>
      <w:r w:rsidRPr="00B154A7">
        <w:rPr>
          <w:rFonts w:ascii="Times New Roman" w:hAnsi="Times New Roman" w:cs="Times New Roman"/>
          <w:sz w:val="24"/>
        </w:rPr>
        <w:t xml:space="preserve">The second type of criticism strictly connected to the first, concerns the value attributed to education within the human capital framework. Based on Sen.’s work, I argue that education has a double role for development. First, a “direct” (or intrinsic) one because being educated allows </w:t>
      </w:r>
      <w:r w:rsidRPr="00B154A7">
        <w:rPr>
          <w:rFonts w:ascii="Times New Roman" w:hAnsi="Times New Roman" w:cs="Times New Roman"/>
          <w:sz w:val="24"/>
        </w:rPr>
        <w:lastRenderedPageBreak/>
        <w:t>people to have directly a better quality of life by enjoying, for instance, cultural events. Second, an “indirect” (or instrumental) one realized through “economic production”, and through “social change”. This definition outlines the limits of the human capital theory, which just looks at one of a broader range of “life- skills” provided by education.</w:t>
      </w:r>
    </w:p>
    <w:p w:rsidR="00BB3014" w:rsidRDefault="00BB3014" w:rsidP="00BB3014">
      <w:pPr>
        <w:spacing w:line="360" w:lineRule="auto"/>
        <w:jc w:val="both"/>
        <w:rPr>
          <w:rFonts w:ascii="Times New Roman" w:hAnsi="Times New Roman" w:cs="Times New Roman"/>
          <w:sz w:val="24"/>
        </w:rPr>
      </w:pPr>
      <w:r w:rsidRPr="00547D4F">
        <w:rPr>
          <w:rFonts w:ascii="Times New Roman" w:hAnsi="Times New Roman" w:cs="Times New Roman"/>
          <w:sz w:val="24"/>
        </w:rPr>
        <w:t>The implicit assumption behind the human capital theory is that the achievement of economic resources (total or per capita), or economic development in a dynamic version, is the final goal and that education is an input that, together with physical (and social) capital, contributes to the increase of these resources. Heterodox critics, founded on principles wider than strictly economic ones, challenge this theoretical construction.</w:t>
      </w:r>
    </w:p>
    <w:p w:rsidR="00BB3014" w:rsidRDefault="00BB3014" w:rsidP="00BB3014">
      <w:pPr>
        <w:spacing w:line="360" w:lineRule="auto"/>
        <w:jc w:val="both"/>
        <w:rPr>
          <w:rFonts w:ascii="Times New Roman" w:hAnsi="Times New Roman" w:cs="Times New Roman"/>
          <w:sz w:val="24"/>
        </w:rPr>
      </w:pPr>
      <w:r w:rsidRPr="00B154A7">
        <w:rPr>
          <w:rFonts w:ascii="Times New Roman" w:hAnsi="Times New Roman" w:cs="Times New Roman"/>
          <w:sz w:val="24"/>
        </w:rPr>
        <w:t xml:space="preserve"> Albeit different, human capital and life-skills are mutually dependent. The three human capital categories suggested by Lanzi:  basic skills (reading, writing), professional competencies (applied knowledge, technical skills), and complex functionalities (problem solving ability, self-learning skills) affect human freedoms, and vice versa. For instance, professional competencies increase human capital determining, ceteris paribus, higher productivity and income, but it has also a capacity to enlarge human freedom because obtaining a better job can raise the level of personal satisfaction, which determines a better quality of life.</w:t>
      </w:r>
      <w:r>
        <w:rPr>
          <w:rFonts w:ascii="Times New Roman" w:hAnsi="Times New Roman" w:cs="Times New Roman"/>
          <w:sz w:val="24"/>
        </w:rPr>
        <w:t xml:space="preserve"> </w:t>
      </w:r>
    </w:p>
    <w:p w:rsidR="0008001C" w:rsidRPr="0008001C" w:rsidRDefault="0008001C" w:rsidP="0008001C">
      <w:pPr>
        <w:spacing w:line="360" w:lineRule="auto"/>
        <w:jc w:val="both"/>
        <w:rPr>
          <w:rFonts w:ascii="Times New Roman" w:hAnsi="Times New Roman" w:cs="Times New Roman"/>
          <w:b/>
          <w:sz w:val="24"/>
        </w:rPr>
      </w:pPr>
      <w:r w:rsidRPr="0008001C">
        <w:rPr>
          <w:rFonts w:ascii="Times New Roman" w:hAnsi="Times New Roman" w:cs="Times New Roman"/>
          <w:b/>
          <w:sz w:val="24"/>
        </w:rPr>
        <w:t xml:space="preserve">RELATIONSHIP BETWEEN </w:t>
      </w:r>
      <w:r w:rsidR="00BB3014">
        <w:rPr>
          <w:rFonts w:ascii="Times New Roman" w:hAnsi="Times New Roman" w:cs="Times New Roman"/>
          <w:b/>
          <w:sz w:val="24"/>
        </w:rPr>
        <w:t>HEALTH FITNESS</w:t>
      </w:r>
      <w:r w:rsidR="00BB3014" w:rsidRPr="0008001C">
        <w:rPr>
          <w:rFonts w:ascii="Times New Roman" w:hAnsi="Times New Roman" w:cs="Times New Roman"/>
          <w:b/>
          <w:sz w:val="24"/>
        </w:rPr>
        <w:t xml:space="preserve"> AND </w:t>
      </w:r>
      <w:r w:rsidRPr="0008001C">
        <w:rPr>
          <w:rFonts w:ascii="Times New Roman" w:hAnsi="Times New Roman" w:cs="Times New Roman"/>
          <w:b/>
          <w:sz w:val="24"/>
        </w:rPr>
        <w:t>EDUCATION</w:t>
      </w:r>
      <w:r>
        <w:rPr>
          <w:rFonts w:ascii="Times New Roman" w:hAnsi="Times New Roman" w:cs="Times New Roman"/>
          <w:b/>
          <w:sz w:val="24"/>
        </w:rPr>
        <w:t>:</w:t>
      </w:r>
      <w:r w:rsidR="00BB3014">
        <w:rPr>
          <w:rFonts w:ascii="Times New Roman" w:hAnsi="Times New Roman" w:cs="Times New Roman"/>
          <w:b/>
          <w:sz w:val="24"/>
        </w:rPr>
        <w:t xml:space="preserve"> </w:t>
      </w:r>
    </w:p>
    <w:p w:rsidR="0008001C" w:rsidRDefault="00BB3014" w:rsidP="00547D4F">
      <w:pPr>
        <w:spacing w:line="360" w:lineRule="auto"/>
        <w:jc w:val="both"/>
        <w:rPr>
          <w:rFonts w:ascii="Times New Roman" w:hAnsi="Times New Roman" w:cs="Times New Roman"/>
          <w:sz w:val="24"/>
        </w:rPr>
      </w:pPr>
      <w:r w:rsidRPr="00547D4F">
        <w:rPr>
          <w:rFonts w:ascii="Times New Roman" w:hAnsi="Times New Roman" w:cs="Times New Roman"/>
          <w:sz w:val="24"/>
        </w:rPr>
        <w:t xml:space="preserve">Both </w:t>
      </w:r>
      <w:r>
        <w:rPr>
          <w:rFonts w:ascii="Times New Roman" w:hAnsi="Times New Roman" w:cs="Times New Roman"/>
          <w:sz w:val="24"/>
        </w:rPr>
        <w:t>health fitness</w:t>
      </w:r>
      <w:r w:rsidRPr="00547D4F">
        <w:rPr>
          <w:rFonts w:ascii="Times New Roman" w:hAnsi="Times New Roman" w:cs="Times New Roman"/>
          <w:sz w:val="24"/>
        </w:rPr>
        <w:t xml:space="preserve"> and education persist from childhood to adulthood, at which point education boosts </w:t>
      </w:r>
      <w:r>
        <w:rPr>
          <w:rFonts w:ascii="Times New Roman" w:hAnsi="Times New Roman" w:cs="Times New Roman"/>
          <w:sz w:val="24"/>
        </w:rPr>
        <w:t>health fitness</w:t>
      </w:r>
      <w:r w:rsidRPr="00547D4F">
        <w:rPr>
          <w:rFonts w:ascii="Times New Roman" w:hAnsi="Times New Roman" w:cs="Times New Roman"/>
          <w:sz w:val="24"/>
        </w:rPr>
        <w:t xml:space="preserve">. But adults are also parents, so their circumstance in middle age spills over onto the next generation. </w:t>
      </w:r>
      <w:r>
        <w:rPr>
          <w:rFonts w:ascii="Times New Roman" w:hAnsi="Times New Roman" w:cs="Times New Roman"/>
          <w:sz w:val="24"/>
        </w:rPr>
        <w:t xml:space="preserve">Health </w:t>
      </w:r>
      <w:r w:rsidRPr="00547D4F">
        <w:rPr>
          <w:rFonts w:ascii="Times New Roman" w:hAnsi="Times New Roman" w:cs="Times New Roman"/>
          <w:sz w:val="24"/>
        </w:rPr>
        <w:t>mothers have</w:t>
      </w:r>
      <w:r>
        <w:rPr>
          <w:rFonts w:ascii="Times New Roman" w:hAnsi="Times New Roman" w:cs="Times New Roman"/>
          <w:sz w:val="24"/>
        </w:rPr>
        <w:t xml:space="preserve"> fitness </w:t>
      </w:r>
      <w:r w:rsidRPr="00547D4F">
        <w:rPr>
          <w:rFonts w:ascii="Times New Roman" w:hAnsi="Times New Roman" w:cs="Times New Roman"/>
          <w:sz w:val="24"/>
        </w:rPr>
        <w:t xml:space="preserve">children and more educated children. Conversely, parental education promotes both the </w:t>
      </w:r>
      <w:r>
        <w:rPr>
          <w:rFonts w:ascii="Times New Roman" w:hAnsi="Times New Roman" w:cs="Times New Roman"/>
          <w:sz w:val="24"/>
        </w:rPr>
        <w:t>health fitness</w:t>
      </w:r>
      <w:r w:rsidRPr="00547D4F">
        <w:rPr>
          <w:rFonts w:ascii="Times New Roman" w:hAnsi="Times New Roman" w:cs="Times New Roman"/>
          <w:sz w:val="24"/>
        </w:rPr>
        <w:t xml:space="preserve"> and the education of the next generation. At this stage, the causal system repeats in the next generation. In the remainder of the paper, I will focus on the subset of the arrows in Figure 1that connect </w:t>
      </w:r>
      <w:r>
        <w:rPr>
          <w:rFonts w:ascii="Times New Roman" w:hAnsi="Times New Roman" w:cs="Times New Roman"/>
          <w:sz w:val="24"/>
        </w:rPr>
        <w:t>health fitness</w:t>
      </w:r>
      <w:r w:rsidRPr="00547D4F">
        <w:rPr>
          <w:rFonts w:ascii="Times New Roman" w:hAnsi="Times New Roman" w:cs="Times New Roman"/>
          <w:sz w:val="24"/>
        </w:rPr>
        <w:t xml:space="preserve"> and education.</w:t>
      </w:r>
      <w:r>
        <w:rPr>
          <w:rFonts w:ascii="Times New Roman" w:hAnsi="Times New Roman" w:cs="Times New Roman"/>
          <w:sz w:val="24"/>
        </w:rPr>
        <w:t xml:space="preserve"> </w:t>
      </w:r>
      <w:r w:rsidR="0008001C" w:rsidRPr="0008001C">
        <w:rPr>
          <w:rFonts w:ascii="Times New Roman" w:hAnsi="Times New Roman" w:cs="Times New Roman"/>
          <w:sz w:val="24"/>
        </w:rPr>
        <w:t xml:space="preserve">With its numerous pathways, the causal system linking education and </w:t>
      </w:r>
      <w:r w:rsidR="002D7419">
        <w:rPr>
          <w:rFonts w:ascii="Times New Roman" w:hAnsi="Times New Roman" w:cs="Times New Roman"/>
          <w:sz w:val="24"/>
        </w:rPr>
        <w:t>health fitness</w:t>
      </w:r>
      <w:r w:rsidR="0008001C" w:rsidRPr="0008001C">
        <w:rPr>
          <w:rFonts w:ascii="Times New Roman" w:hAnsi="Times New Roman" w:cs="Times New Roman"/>
          <w:sz w:val="24"/>
        </w:rPr>
        <w:t xml:space="preserve"> may seem convoluted. However, one can represent it in a simple but informative diagram. </w:t>
      </w:r>
      <w:r w:rsidR="00547D4F" w:rsidRPr="0008001C">
        <w:rPr>
          <w:rFonts w:ascii="Times New Roman" w:hAnsi="Times New Roman" w:cs="Times New Roman"/>
          <w:sz w:val="24"/>
        </w:rPr>
        <w:t>Traces</w:t>
      </w:r>
      <w:r w:rsidR="0008001C" w:rsidRPr="0008001C">
        <w:rPr>
          <w:rFonts w:ascii="Times New Roman" w:hAnsi="Times New Roman" w:cs="Times New Roman"/>
          <w:sz w:val="24"/>
        </w:rPr>
        <w:t xml:space="preserve"> out the links between education and </w:t>
      </w:r>
      <w:r w:rsidR="002D7419">
        <w:rPr>
          <w:rFonts w:ascii="Times New Roman" w:hAnsi="Times New Roman" w:cs="Times New Roman"/>
          <w:sz w:val="24"/>
        </w:rPr>
        <w:t>health fitness</w:t>
      </w:r>
      <w:r w:rsidR="0008001C" w:rsidRPr="0008001C">
        <w:rPr>
          <w:rFonts w:ascii="Times New Roman" w:hAnsi="Times New Roman" w:cs="Times New Roman"/>
          <w:sz w:val="24"/>
        </w:rPr>
        <w:t xml:space="preserve">, first over the lifecycle and then across generations. </w:t>
      </w:r>
    </w:p>
    <w:p w:rsidR="00547D4F" w:rsidRDefault="00547D4F" w:rsidP="00547D4F">
      <w:pPr>
        <w:spacing w:line="360" w:lineRule="auto"/>
        <w:jc w:val="center"/>
        <w:rPr>
          <w:rFonts w:ascii="Times New Roman" w:hAnsi="Times New Roman" w:cs="Times New Roman"/>
          <w:sz w:val="24"/>
        </w:rPr>
      </w:pPr>
      <w:r>
        <w:rPr>
          <w:noProof/>
          <w:lang w:bidi="hi-IN"/>
        </w:rPr>
        <w:lastRenderedPageBreak/>
        <w:drawing>
          <wp:inline distT="0" distB="0" distL="0" distR="0" wp14:anchorId="0EC3970B" wp14:editId="008638E6">
            <wp:extent cx="5943600" cy="1381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381760"/>
                    </a:xfrm>
                    <a:prstGeom prst="rect">
                      <a:avLst/>
                    </a:prstGeom>
                  </pic:spPr>
                </pic:pic>
              </a:graphicData>
            </a:graphic>
          </wp:inline>
        </w:drawing>
      </w:r>
    </w:p>
    <w:p w:rsidR="00547D4F" w:rsidRPr="0008001C" w:rsidRDefault="00547D4F" w:rsidP="00547D4F">
      <w:pPr>
        <w:spacing w:line="360" w:lineRule="auto"/>
        <w:jc w:val="center"/>
        <w:rPr>
          <w:rFonts w:ascii="Times New Roman" w:hAnsi="Times New Roman" w:cs="Times New Roman"/>
          <w:sz w:val="24"/>
        </w:rPr>
      </w:pPr>
      <w:r w:rsidRPr="00547D4F">
        <w:rPr>
          <w:rFonts w:ascii="Times New Roman" w:hAnsi="Times New Roman" w:cs="Times New Roman"/>
          <w:b/>
          <w:bCs/>
          <w:sz w:val="24"/>
        </w:rPr>
        <w:t xml:space="preserve">Figure 1: Relationship between </w:t>
      </w:r>
      <w:r w:rsidR="002D7419">
        <w:rPr>
          <w:rFonts w:ascii="Times New Roman" w:hAnsi="Times New Roman" w:cs="Times New Roman"/>
          <w:b/>
          <w:bCs/>
          <w:sz w:val="24"/>
        </w:rPr>
        <w:t>Health fitness</w:t>
      </w:r>
      <w:r w:rsidRPr="00547D4F">
        <w:rPr>
          <w:rFonts w:ascii="Times New Roman" w:hAnsi="Times New Roman" w:cs="Times New Roman"/>
          <w:b/>
          <w:bCs/>
          <w:sz w:val="24"/>
        </w:rPr>
        <w:t xml:space="preserve"> and Education</w:t>
      </w:r>
    </w:p>
    <w:p w:rsidR="00BB3014" w:rsidRPr="00BB3014" w:rsidRDefault="00BB3014" w:rsidP="00BB3014">
      <w:pPr>
        <w:spacing w:line="360" w:lineRule="auto"/>
        <w:jc w:val="both"/>
        <w:rPr>
          <w:rFonts w:ascii="Times New Roman" w:hAnsi="Times New Roman" w:cs="Times New Roman"/>
          <w:sz w:val="24"/>
        </w:rPr>
      </w:pPr>
      <w:r w:rsidRPr="0008001C">
        <w:rPr>
          <w:rFonts w:ascii="Times New Roman" w:hAnsi="Times New Roman" w:cs="Times New Roman"/>
          <w:sz w:val="24"/>
        </w:rPr>
        <w:t>Each arrow represents a causal link that has empirical support in the literature. The solid lines signify intergenerational</w:t>
      </w:r>
      <w:r>
        <w:rPr>
          <w:rFonts w:ascii="Times New Roman" w:hAnsi="Times New Roman" w:cs="Times New Roman"/>
          <w:sz w:val="24"/>
        </w:rPr>
        <w:t xml:space="preserve"> links </w:t>
      </w:r>
      <w:r w:rsidRPr="0008001C">
        <w:rPr>
          <w:rFonts w:ascii="Times New Roman" w:hAnsi="Times New Roman" w:cs="Times New Roman"/>
          <w:sz w:val="24"/>
        </w:rPr>
        <w:t>in other words, causal links that operate within a singl</w:t>
      </w:r>
      <w:r>
        <w:rPr>
          <w:rFonts w:ascii="Times New Roman" w:hAnsi="Times New Roman" w:cs="Times New Roman"/>
          <w:sz w:val="24"/>
        </w:rPr>
        <w:t xml:space="preserve">e person </w:t>
      </w:r>
      <w:r w:rsidRPr="0008001C">
        <w:rPr>
          <w:rFonts w:ascii="Times New Roman" w:hAnsi="Times New Roman" w:cs="Times New Roman"/>
          <w:sz w:val="24"/>
        </w:rPr>
        <w:t>while the dashed lines correspond to links that work across generations within a family</w:t>
      </w:r>
      <w:r>
        <w:rPr>
          <w:rFonts w:ascii="Times New Roman" w:hAnsi="Times New Roman" w:cs="Times New Roman"/>
          <w:sz w:val="24"/>
        </w:rPr>
        <w:t xml:space="preserve"> [5]</w:t>
      </w:r>
      <w:r w:rsidRPr="0008001C">
        <w:rPr>
          <w:rFonts w:ascii="Times New Roman" w:hAnsi="Times New Roman" w:cs="Times New Roman"/>
          <w:sz w:val="24"/>
        </w:rPr>
        <w:t>.</w:t>
      </w:r>
      <w:r>
        <w:rPr>
          <w:rFonts w:ascii="Times New Roman" w:hAnsi="Times New Roman" w:cs="Times New Roman"/>
          <w:sz w:val="24"/>
        </w:rPr>
        <w:t xml:space="preserve"> </w:t>
      </w:r>
      <w:r w:rsidRPr="00547D4F">
        <w:rPr>
          <w:rFonts w:ascii="Times New Roman" w:hAnsi="Times New Roman" w:cs="Times New Roman"/>
          <w:sz w:val="24"/>
        </w:rPr>
        <w:t xml:space="preserve">The system lays out a roadmap for the rest of the </w:t>
      </w:r>
      <w:r>
        <w:rPr>
          <w:rFonts w:ascii="Times New Roman" w:hAnsi="Times New Roman" w:cs="Times New Roman"/>
          <w:sz w:val="24"/>
        </w:rPr>
        <w:t>paper</w:t>
      </w:r>
      <w:r w:rsidRPr="00547D4F">
        <w:rPr>
          <w:rFonts w:ascii="Times New Roman" w:hAnsi="Times New Roman" w:cs="Times New Roman"/>
          <w:sz w:val="24"/>
        </w:rPr>
        <w:t xml:space="preserve">. In childhood, good </w:t>
      </w:r>
      <w:r>
        <w:rPr>
          <w:rFonts w:ascii="Times New Roman" w:hAnsi="Times New Roman" w:cs="Times New Roman"/>
          <w:sz w:val="24"/>
        </w:rPr>
        <w:t>health fitness</w:t>
      </w:r>
      <w:r w:rsidRPr="00547D4F">
        <w:rPr>
          <w:rFonts w:ascii="Times New Roman" w:hAnsi="Times New Roman" w:cs="Times New Roman"/>
          <w:sz w:val="24"/>
        </w:rPr>
        <w:t xml:space="preserve"> improves educational outcomes. Additionally, the expectation of good adult </w:t>
      </w:r>
      <w:r>
        <w:rPr>
          <w:rFonts w:ascii="Times New Roman" w:hAnsi="Times New Roman" w:cs="Times New Roman"/>
          <w:sz w:val="24"/>
        </w:rPr>
        <w:t>health fitness</w:t>
      </w:r>
      <w:r w:rsidRPr="00547D4F">
        <w:rPr>
          <w:rFonts w:ascii="Times New Roman" w:hAnsi="Times New Roman" w:cs="Times New Roman"/>
          <w:sz w:val="24"/>
        </w:rPr>
        <w:t xml:space="preserve"> increases schooling investments in childhood.</w:t>
      </w:r>
      <w:r>
        <w:rPr>
          <w:rFonts w:ascii="Times New Roman" w:hAnsi="Times New Roman" w:cs="Times New Roman"/>
          <w:sz w:val="24"/>
        </w:rPr>
        <w:t xml:space="preserve"> </w:t>
      </w:r>
    </w:p>
    <w:p w:rsidR="00547D4F" w:rsidRPr="00547D4F" w:rsidRDefault="00BB3014" w:rsidP="00547D4F">
      <w:pPr>
        <w:jc w:val="both"/>
        <w:rPr>
          <w:rFonts w:ascii="Times New Roman" w:hAnsi="Times New Roman" w:cs="Times New Roman"/>
          <w:b/>
          <w:sz w:val="24"/>
        </w:rPr>
      </w:pPr>
      <w:r>
        <w:rPr>
          <w:rFonts w:ascii="Times New Roman" w:hAnsi="Times New Roman" w:cs="Times New Roman"/>
          <w:b/>
          <w:sz w:val="24"/>
        </w:rPr>
        <w:t>INFLUENCE</w:t>
      </w:r>
      <w:r w:rsidRPr="00547D4F">
        <w:rPr>
          <w:rFonts w:ascii="Times New Roman" w:hAnsi="Times New Roman" w:cs="Times New Roman"/>
          <w:b/>
          <w:sz w:val="24"/>
        </w:rPr>
        <w:t xml:space="preserve"> OF CHILDHOOD </w:t>
      </w:r>
      <w:r>
        <w:rPr>
          <w:rFonts w:ascii="Times New Roman" w:hAnsi="Times New Roman" w:cs="Times New Roman"/>
          <w:b/>
          <w:sz w:val="24"/>
        </w:rPr>
        <w:t>HEALTH FITNESS</w:t>
      </w:r>
      <w:r w:rsidRPr="00547D4F">
        <w:rPr>
          <w:rFonts w:ascii="Times New Roman" w:hAnsi="Times New Roman" w:cs="Times New Roman"/>
          <w:b/>
          <w:sz w:val="24"/>
        </w:rPr>
        <w:t xml:space="preserve"> ON EDUCATIONAL RESULTS</w:t>
      </w:r>
      <w:r>
        <w:rPr>
          <w:rFonts w:ascii="Times New Roman" w:hAnsi="Times New Roman" w:cs="Times New Roman"/>
          <w:b/>
          <w:sz w:val="24"/>
        </w:rPr>
        <w:t>:</w:t>
      </w:r>
    </w:p>
    <w:p w:rsidR="00547D4F" w:rsidRDefault="00547D4F" w:rsidP="00547D4F">
      <w:pPr>
        <w:spacing w:line="360" w:lineRule="auto"/>
        <w:jc w:val="both"/>
        <w:rPr>
          <w:rFonts w:ascii="Times New Roman" w:hAnsi="Times New Roman" w:cs="Times New Roman"/>
          <w:sz w:val="24"/>
        </w:rPr>
      </w:pPr>
      <w:r w:rsidRPr="00547D4F">
        <w:rPr>
          <w:rFonts w:ascii="Times New Roman" w:hAnsi="Times New Roman" w:cs="Times New Roman"/>
          <w:b/>
          <w:sz w:val="24"/>
        </w:rPr>
        <w:t xml:space="preserve">Educational </w:t>
      </w:r>
      <w:r w:rsidR="00BB3014" w:rsidRPr="00547D4F">
        <w:rPr>
          <w:rFonts w:ascii="Times New Roman" w:hAnsi="Times New Roman" w:cs="Times New Roman"/>
          <w:b/>
          <w:sz w:val="24"/>
        </w:rPr>
        <w:t>Results</w:t>
      </w:r>
      <w:r w:rsidRPr="00547D4F">
        <w:rPr>
          <w:rFonts w:ascii="Times New Roman" w:hAnsi="Times New Roman" w:cs="Times New Roman"/>
          <w:b/>
          <w:sz w:val="24"/>
        </w:rPr>
        <w:t xml:space="preserve"> in Adulthood</w:t>
      </w:r>
      <w:r>
        <w:rPr>
          <w:rFonts w:ascii="Times New Roman" w:hAnsi="Times New Roman" w:cs="Times New Roman"/>
          <w:b/>
          <w:sz w:val="24"/>
        </w:rPr>
        <w:t xml:space="preserve">: </w:t>
      </w:r>
      <w:r w:rsidRPr="00547D4F">
        <w:rPr>
          <w:rFonts w:ascii="Times New Roman" w:hAnsi="Times New Roman" w:cs="Times New Roman"/>
          <w:sz w:val="24"/>
        </w:rPr>
        <w:t xml:space="preserve">The fact that education is relatively fixed by adulthood facilitates the study of its relationship with </w:t>
      </w:r>
      <w:r w:rsidR="002D7419">
        <w:rPr>
          <w:rFonts w:ascii="Times New Roman" w:hAnsi="Times New Roman" w:cs="Times New Roman"/>
          <w:sz w:val="24"/>
        </w:rPr>
        <w:t>health fitness</w:t>
      </w:r>
      <w:r w:rsidRPr="00547D4F">
        <w:rPr>
          <w:rFonts w:ascii="Times New Roman" w:hAnsi="Times New Roman" w:cs="Times New Roman"/>
          <w:sz w:val="24"/>
        </w:rPr>
        <w:t xml:space="preserve">. Coupled with retrospective measures of child </w:t>
      </w:r>
      <w:r w:rsidR="002D7419">
        <w:rPr>
          <w:rFonts w:ascii="Times New Roman" w:hAnsi="Times New Roman" w:cs="Times New Roman"/>
          <w:sz w:val="24"/>
        </w:rPr>
        <w:t>health fitness</w:t>
      </w:r>
      <w:r w:rsidRPr="00547D4F">
        <w:rPr>
          <w:rFonts w:ascii="Times New Roman" w:hAnsi="Times New Roman" w:cs="Times New Roman"/>
          <w:sz w:val="24"/>
        </w:rPr>
        <w:t xml:space="preserve">, data on adult educational attainment can shed light on the effect of </w:t>
      </w:r>
      <w:r w:rsidR="002D7419">
        <w:rPr>
          <w:rFonts w:ascii="Times New Roman" w:hAnsi="Times New Roman" w:cs="Times New Roman"/>
          <w:sz w:val="24"/>
        </w:rPr>
        <w:t>health fitness</w:t>
      </w:r>
      <w:r w:rsidRPr="00547D4F">
        <w:rPr>
          <w:rFonts w:ascii="Times New Roman" w:hAnsi="Times New Roman" w:cs="Times New Roman"/>
          <w:sz w:val="24"/>
        </w:rPr>
        <w:t xml:space="preserve"> on education in childhood. For example, just as height and schooling outcomes are associated in children, so too are they related in adults.</w:t>
      </w:r>
      <w:r>
        <w:rPr>
          <w:rFonts w:ascii="Times New Roman" w:hAnsi="Times New Roman" w:cs="Times New Roman"/>
          <w:sz w:val="24"/>
        </w:rPr>
        <w:t xml:space="preserve"> </w:t>
      </w:r>
      <w:r w:rsidRPr="00547D4F">
        <w:rPr>
          <w:rFonts w:ascii="Times New Roman" w:hAnsi="Times New Roman" w:cs="Times New Roman"/>
          <w:sz w:val="24"/>
        </w:rPr>
        <w:t xml:space="preserve">In adulthood, too, the results of natural experiments and randomized controlled trials suggest that the associations partly represent an effect of </w:t>
      </w:r>
      <w:r w:rsidR="002D7419">
        <w:rPr>
          <w:rFonts w:ascii="Times New Roman" w:hAnsi="Times New Roman" w:cs="Times New Roman"/>
          <w:sz w:val="24"/>
        </w:rPr>
        <w:t>health fitness</w:t>
      </w:r>
      <w:r w:rsidRPr="00547D4F">
        <w:rPr>
          <w:rFonts w:ascii="Times New Roman" w:hAnsi="Times New Roman" w:cs="Times New Roman"/>
          <w:sz w:val="24"/>
        </w:rPr>
        <w:t xml:space="preserve"> on education. One noteworthy finding comes from long-term follow-up of deworming experiment in Kenya. In young adulthood, individuals in the treatment group had stayed enrolled in school longer and performed better on a battery of tests than their counterparts in the control group. On the other hand, long-term follow-up of </w:t>
      </w:r>
      <w:r w:rsidR="00A05ED8">
        <w:rPr>
          <w:rFonts w:ascii="Times New Roman" w:hAnsi="Times New Roman" w:cs="Times New Roman"/>
          <w:sz w:val="24"/>
        </w:rPr>
        <w:t>[8]</w:t>
      </w:r>
      <w:r w:rsidRPr="00547D4F">
        <w:rPr>
          <w:rFonts w:ascii="Times New Roman" w:hAnsi="Times New Roman" w:cs="Times New Roman"/>
          <w:sz w:val="24"/>
        </w:rPr>
        <w:t xml:space="preserve"> study of hookworm in the U.S. South gives different results. To modify his research design to study outcomes in adulthood, </w:t>
      </w:r>
      <w:r w:rsidR="00A05ED8" w:rsidRPr="00547D4F">
        <w:rPr>
          <w:rFonts w:ascii="Times New Roman" w:hAnsi="Times New Roman" w:cs="Times New Roman"/>
          <w:sz w:val="24"/>
        </w:rPr>
        <w:t>bleakly</w:t>
      </w:r>
      <w:r w:rsidRPr="00547D4F">
        <w:rPr>
          <w:rFonts w:ascii="Times New Roman" w:hAnsi="Times New Roman" w:cs="Times New Roman"/>
          <w:sz w:val="24"/>
        </w:rPr>
        <w:t xml:space="preserve"> compares birth cohorts born too early to be exposed to eradication to</w:t>
      </w:r>
      <w:r>
        <w:rPr>
          <w:rFonts w:ascii="Times New Roman" w:hAnsi="Times New Roman" w:cs="Times New Roman"/>
          <w:sz w:val="24"/>
        </w:rPr>
        <w:t xml:space="preserve"> </w:t>
      </w:r>
      <w:r w:rsidRPr="00547D4F">
        <w:rPr>
          <w:rFonts w:ascii="Times New Roman" w:hAnsi="Times New Roman" w:cs="Times New Roman"/>
          <w:sz w:val="24"/>
        </w:rPr>
        <w:t>those born later, across areas with differing baseline worm infection prevalence.  The results imply significantly positive effects on literacy but not years of schooling</w:t>
      </w:r>
      <w:r w:rsidR="00BB3014">
        <w:rPr>
          <w:rFonts w:ascii="Times New Roman" w:hAnsi="Times New Roman" w:cs="Times New Roman"/>
          <w:sz w:val="24"/>
        </w:rPr>
        <w:t>.</w:t>
      </w:r>
    </w:p>
    <w:p w:rsidR="00547D4F" w:rsidRDefault="00547D4F" w:rsidP="00547D4F">
      <w:pPr>
        <w:spacing w:line="360" w:lineRule="auto"/>
        <w:jc w:val="both"/>
        <w:rPr>
          <w:rFonts w:ascii="Times New Roman" w:hAnsi="Times New Roman" w:cs="Times New Roman"/>
          <w:sz w:val="24"/>
        </w:rPr>
      </w:pPr>
      <w:r w:rsidRPr="00547D4F">
        <w:rPr>
          <w:rFonts w:ascii="Times New Roman" w:hAnsi="Times New Roman" w:cs="Times New Roman"/>
          <w:b/>
          <w:sz w:val="24"/>
        </w:rPr>
        <w:lastRenderedPageBreak/>
        <w:t xml:space="preserve">Effect of Education on </w:t>
      </w:r>
      <w:r w:rsidR="002D7419">
        <w:rPr>
          <w:rFonts w:ascii="Times New Roman" w:hAnsi="Times New Roman" w:cs="Times New Roman"/>
          <w:b/>
          <w:sz w:val="24"/>
        </w:rPr>
        <w:t>Health fitness</w:t>
      </w:r>
      <w:r w:rsidRPr="00547D4F">
        <w:rPr>
          <w:rFonts w:ascii="Times New Roman" w:hAnsi="Times New Roman" w:cs="Times New Roman"/>
          <w:b/>
          <w:sz w:val="24"/>
        </w:rPr>
        <w:t xml:space="preserve"> in Adulthood:</w:t>
      </w:r>
      <w:r w:rsidRPr="00547D4F">
        <w:rPr>
          <w:rFonts w:ascii="Times New Roman" w:hAnsi="Times New Roman" w:cs="Times New Roman"/>
          <w:sz w:val="24"/>
        </w:rPr>
        <w:t xml:space="preserve"> A long-standing literature reports positive associations between education and </w:t>
      </w:r>
      <w:r w:rsidR="002D7419">
        <w:rPr>
          <w:rFonts w:ascii="Times New Roman" w:hAnsi="Times New Roman" w:cs="Times New Roman"/>
          <w:sz w:val="24"/>
        </w:rPr>
        <w:t>health fitness</w:t>
      </w:r>
      <w:r w:rsidRPr="00547D4F">
        <w:rPr>
          <w:rFonts w:ascii="Times New Roman" w:hAnsi="Times New Roman" w:cs="Times New Roman"/>
          <w:sz w:val="24"/>
        </w:rPr>
        <w:t xml:space="preserve"> in adults in wealthy countries. </w:t>
      </w:r>
      <w:r w:rsidR="00A05ED8">
        <w:rPr>
          <w:rFonts w:ascii="Times New Roman" w:hAnsi="Times New Roman" w:cs="Times New Roman"/>
          <w:sz w:val="24"/>
        </w:rPr>
        <w:t>[9]</w:t>
      </w:r>
      <w:r w:rsidRPr="00547D4F">
        <w:rPr>
          <w:rFonts w:ascii="Times New Roman" w:hAnsi="Times New Roman" w:cs="Times New Roman"/>
          <w:sz w:val="24"/>
        </w:rPr>
        <w:t xml:space="preserve"> </w:t>
      </w:r>
      <w:r w:rsidR="00A05ED8" w:rsidRPr="00547D4F">
        <w:rPr>
          <w:rFonts w:ascii="Times New Roman" w:hAnsi="Times New Roman" w:cs="Times New Roman"/>
          <w:sz w:val="24"/>
        </w:rPr>
        <w:t>Note</w:t>
      </w:r>
      <w:r w:rsidRPr="00547D4F">
        <w:rPr>
          <w:rFonts w:ascii="Times New Roman" w:hAnsi="Times New Roman" w:cs="Times New Roman"/>
          <w:sz w:val="24"/>
        </w:rPr>
        <w:t xml:space="preserve"> in their survey </w:t>
      </w:r>
      <w:r w:rsidR="00CF6F14">
        <w:rPr>
          <w:rFonts w:ascii="Times New Roman" w:hAnsi="Times New Roman" w:cs="Times New Roman"/>
          <w:sz w:val="24"/>
        </w:rPr>
        <w:t>paper</w:t>
      </w:r>
      <w:r w:rsidRPr="00547D4F">
        <w:rPr>
          <w:rFonts w:ascii="Times New Roman" w:hAnsi="Times New Roman" w:cs="Times New Roman"/>
          <w:sz w:val="24"/>
        </w:rPr>
        <w:t xml:space="preserve"> on the topic, the mechanisms linking the two variables are not fully known. To the extent that the association reflects an effect of education on </w:t>
      </w:r>
      <w:r w:rsidR="002D7419">
        <w:rPr>
          <w:rFonts w:ascii="Times New Roman" w:hAnsi="Times New Roman" w:cs="Times New Roman"/>
          <w:sz w:val="24"/>
        </w:rPr>
        <w:t>health fitness</w:t>
      </w:r>
      <w:r w:rsidRPr="00547D4F">
        <w:rPr>
          <w:rFonts w:ascii="Times New Roman" w:hAnsi="Times New Roman" w:cs="Times New Roman"/>
          <w:sz w:val="24"/>
        </w:rPr>
        <w:t xml:space="preserve">, important mediators of this effect may include income,  working conditions, </w:t>
      </w:r>
      <w:r w:rsidR="002D7419">
        <w:rPr>
          <w:rFonts w:ascii="Times New Roman" w:hAnsi="Times New Roman" w:cs="Times New Roman"/>
          <w:sz w:val="24"/>
        </w:rPr>
        <w:t>health fitness</w:t>
      </w:r>
      <w:r w:rsidRPr="00547D4F">
        <w:rPr>
          <w:rFonts w:ascii="Times New Roman" w:hAnsi="Times New Roman" w:cs="Times New Roman"/>
          <w:sz w:val="24"/>
        </w:rPr>
        <w:t xml:space="preserve">-related knowledge,  cognitive ability, patience, attitudes towards risk, and cultural capital (especially in interactions with </w:t>
      </w:r>
      <w:r w:rsidR="002D7419">
        <w:rPr>
          <w:rFonts w:ascii="Times New Roman" w:hAnsi="Times New Roman" w:cs="Times New Roman"/>
          <w:sz w:val="24"/>
        </w:rPr>
        <w:t>health fitness</w:t>
      </w:r>
      <w:r w:rsidRPr="00547D4F">
        <w:rPr>
          <w:rFonts w:ascii="Times New Roman" w:hAnsi="Times New Roman" w:cs="Times New Roman"/>
          <w:sz w:val="24"/>
        </w:rPr>
        <w:t xml:space="preserve"> providers). Similar associations are evident in data from developing countries, although studies are rarer.</w:t>
      </w:r>
    </w:p>
    <w:p w:rsidR="00547D4F" w:rsidRDefault="00547D4F" w:rsidP="00547D4F">
      <w:pPr>
        <w:spacing w:line="360" w:lineRule="auto"/>
        <w:jc w:val="both"/>
        <w:rPr>
          <w:rFonts w:ascii="Times New Roman" w:hAnsi="Times New Roman" w:cs="Times New Roman"/>
          <w:sz w:val="24"/>
        </w:rPr>
      </w:pPr>
      <w:r w:rsidRPr="00547D4F">
        <w:rPr>
          <w:rFonts w:ascii="Times New Roman" w:hAnsi="Times New Roman" w:cs="Times New Roman"/>
          <w:sz w:val="24"/>
        </w:rPr>
        <w:t xml:space="preserve">However, longitudinal follow-up of the recent spate of education-related randomized controlled trials in developing countries has begun to yield useful results on </w:t>
      </w:r>
      <w:r w:rsidR="002D7419">
        <w:rPr>
          <w:rFonts w:ascii="Times New Roman" w:hAnsi="Times New Roman" w:cs="Times New Roman"/>
          <w:sz w:val="24"/>
        </w:rPr>
        <w:t>health fitness</w:t>
      </w:r>
      <w:r w:rsidRPr="00547D4F">
        <w:rPr>
          <w:rFonts w:ascii="Times New Roman" w:hAnsi="Times New Roman" w:cs="Times New Roman"/>
          <w:sz w:val="24"/>
        </w:rPr>
        <w:t xml:space="preserve"> behavior in</w:t>
      </w:r>
      <w:r>
        <w:rPr>
          <w:rFonts w:ascii="Times New Roman" w:hAnsi="Times New Roman" w:cs="Times New Roman"/>
          <w:sz w:val="24"/>
        </w:rPr>
        <w:t xml:space="preserve"> </w:t>
      </w:r>
      <w:r w:rsidRPr="00547D4F">
        <w:rPr>
          <w:rFonts w:ascii="Times New Roman" w:hAnsi="Times New Roman" w:cs="Times New Roman"/>
          <w:sz w:val="24"/>
        </w:rPr>
        <w:t xml:space="preserve">young adulthood. In one study, </w:t>
      </w:r>
      <w:r w:rsidR="00A05ED8">
        <w:rPr>
          <w:rFonts w:ascii="Times New Roman" w:hAnsi="Times New Roman" w:cs="Times New Roman"/>
          <w:sz w:val="24"/>
        </w:rPr>
        <w:t>[10]</w:t>
      </w:r>
      <w:r w:rsidRPr="00547D4F">
        <w:rPr>
          <w:rFonts w:ascii="Times New Roman" w:hAnsi="Times New Roman" w:cs="Times New Roman"/>
          <w:sz w:val="24"/>
        </w:rPr>
        <w:t xml:space="preserve"> analyze a program in the Dominican Republic that gave teenage boys information about the return to schooling. The information led the boys to stay in school longer, to delay the onset of heavy drinking, and to reduce smoking at age 18. Across the Atlantic in Africa, estimate the effects of a program that sought to provide adolescent girls with both vocational training and information about risky </w:t>
      </w:r>
      <w:r w:rsidR="002D7419">
        <w:rPr>
          <w:rFonts w:ascii="Times New Roman" w:hAnsi="Times New Roman" w:cs="Times New Roman"/>
          <w:sz w:val="24"/>
        </w:rPr>
        <w:t>health fitness</w:t>
      </w:r>
      <w:r w:rsidRPr="00547D4F">
        <w:rPr>
          <w:rFonts w:ascii="Times New Roman" w:hAnsi="Times New Roman" w:cs="Times New Roman"/>
          <w:sz w:val="24"/>
        </w:rPr>
        <w:t xml:space="preserve"> behaviors. HIV-related knowledge and condom use both increased. Less promising results have emerged from a Kenyan study on the medium-run impacts of a school subsidy program </w:t>
      </w:r>
      <w:r w:rsidR="00A05ED8">
        <w:rPr>
          <w:rFonts w:ascii="Times New Roman" w:hAnsi="Times New Roman" w:cs="Times New Roman"/>
          <w:sz w:val="24"/>
        </w:rPr>
        <w:t>[11]</w:t>
      </w:r>
      <w:r w:rsidRPr="00547D4F">
        <w:rPr>
          <w:rFonts w:ascii="Times New Roman" w:hAnsi="Times New Roman" w:cs="Times New Roman"/>
          <w:sz w:val="24"/>
        </w:rPr>
        <w:t xml:space="preserve">. Although the program increased schooling for both boys and girls, follow-up data show at best weak impacts on sexual behavior and STD infection. Together, these studies suggest that keeping boys ‘off the streets’ and equipping girls with </w:t>
      </w:r>
      <w:r w:rsidR="002D7419">
        <w:rPr>
          <w:rFonts w:ascii="Times New Roman" w:hAnsi="Times New Roman" w:cs="Times New Roman"/>
          <w:sz w:val="24"/>
        </w:rPr>
        <w:t>health fitness</w:t>
      </w:r>
      <w:r w:rsidRPr="00547D4F">
        <w:rPr>
          <w:rFonts w:ascii="Times New Roman" w:hAnsi="Times New Roman" w:cs="Times New Roman"/>
          <w:sz w:val="24"/>
        </w:rPr>
        <w:t xml:space="preserve"> information may be key to any effect of education on </w:t>
      </w:r>
      <w:r w:rsidR="002D7419">
        <w:rPr>
          <w:rFonts w:ascii="Times New Roman" w:hAnsi="Times New Roman" w:cs="Times New Roman"/>
          <w:sz w:val="24"/>
        </w:rPr>
        <w:t>health fitness</w:t>
      </w:r>
      <w:r w:rsidRPr="00547D4F">
        <w:rPr>
          <w:rFonts w:ascii="Times New Roman" w:hAnsi="Times New Roman" w:cs="Times New Roman"/>
          <w:sz w:val="24"/>
        </w:rPr>
        <w:t xml:space="preserve"> in young adulthood.</w:t>
      </w:r>
    </w:p>
    <w:p w:rsidR="00BB3014" w:rsidRDefault="00BB3014" w:rsidP="00547D4F">
      <w:pPr>
        <w:spacing w:line="360" w:lineRule="auto"/>
        <w:jc w:val="both"/>
        <w:rPr>
          <w:rFonts w:ascii="Times New Roman" w:hAnsi="Times New Roman" w:cs="Times New Roman"/>
          <w:sz w:val="24"/>
        </w:rPr>
      </w:pPr>
      <w:r w:rsidRPr="00547D4F">
        <w:rPr>
          <w:rFonts w:ascii="Times New Roman" w:hAnsi="Times New Roman" w:cs="Times New Roman"/>
          <w:b/>
          <w:sz w:val="24"/>
        </w:rPr>
        <w:t>Educational Results in Childhood</w:t>
      </w:r>
      <w:r>
        <w:rPr>
          <w:rFonts w:ascii="Times New Roman" w:hAnsi="Times New Roman" w:cs="Times New Roman"/>
          <w:b/>
          <w:sz w:val="24"/>
        </w:rPr>
        <w:t xml:space="preserve">: </w:t>
      </w:r>
      <w:r w:rsidRPr="00547D4F">
        <w:rPr>
          <w:rFonts w:ascii="Times New Roman" w:hAnsi="Times New Roman" w:cs="Times New Roman"/>
          <w:b/>
          <w:sz w:val="24"/>
        </w:rPr>
        <w:t xml:space="preserve"> </w:t>
      </w:r>
      <w:r w:rsidRPr="00547D4F">
        <w:rPr>
          <w:rFonts w:ascii="Times New Roman" w:hAnsi="Times New Roman" w:cs="Times New Roman"/>
          <w:sz w:val="24"/>
        </w:rPr>
        <w:t xml:space="preserve">We begin in childhood, where abundant evidence suggests that </w:t>
      </w:r>
      <w:r>
        <w:rPr>
          <w:rFonts w:ascii="Times New Roman" w:hAnsi="Times New Roman" w:cs="Times New Roman"/>
          <w:sz w:val="24"/>
        </w:rPr>
        <w:t>health fitness</w:t>
      </w:r>
      <w:r w:rsidRPr="00547D4F">
        <w:rPr>
          <w:rFonts w:ascii="Times New Roman" w:hAnsi="Times New Roman" w:cs="Times New Roman"/>
          <w:sz w:val="24"/>
        </w:rPr>
        <w:t xml:space="preserve"> affects school enrollment and academic achievement. </w:t>
      </w:r>
      <w:r>
        <w:rPr>
          <w:rFonts w:ascii="Times New Roman" w:hAnsi="Times New Roman" w:cs="Times New Roman"/>
          <w:sz w:val="24"/>
        </w:rPr>
        <w:t>Health fitness</w:t>
      </w:r>
      <w:r w:rsidRPr="00547D4F">
        <w:rPr>
          <w:rFonts w:ascii="Times New Roman" w:hAnsi="Times New Roman" w:cs="Times New Roman"/>
          <w:sz w:val="24"/>
        </w:rPr>
        <w:t xml:space="preserve"> enables children to travel to school, concentrate, and think clearly, all of which may improve educational outcomes. Until recently, the evidence has primarily taken the form of cross-sectional associations between children’s </w:t>
      </w:r>
      <w:r>
        <w:rPr>
          <w:rFonts w:ascii="Times New Roman" w:hAnsi="Times New Roman" w:cs="Times New Roman"/>
          <w:sz w:val="24"/>
        </w:rPr>
        <w:t>health fitness</w:t>
      </w:r>
      <w:r w:rsidRPr="00547D4F">
        <w:rPr>
          <w:rFonts w:ascii="Times New Roman" w:hAnsi="Times New Roman" w:cs="Times New Roman"/>
          <w:sz w:val="24"/>
        </w:rPr>
        <w:t xml:space="preserve"> and their educational outcomes. Behrman (1996) surveys several such studies from the 1980s and 1990s, which show strong positive relationships between anthropo</w:t>
      </w:r>
      <w:r>
        <w:rPr>
          <w:rFonts w:ascii="Times New Roman" w:hAnsi="Times New Roman" w:cs="Times New Roman"/>
          <w:sz w:val="24"/>
        </w:rPr>
        <w:t xml:space="preserve">metric measures of child health fitness </w:t>
      </w:r>
      <w:r w:rsidRPr="00547D4F">
        <w:rPr>
          <w:rFonts w:ascii="Times New Roman" w:hAnsi="Times New Roman" w:cs="Times New Roman"/>
          <w:sz w:val="24"/>
        </w:rPr>
        <w:t xml:space="preserve">such as </w:t>
      </w:r>
      <w:r>
        <w:rPr>
          <w:rFonts w:ascii="Times New Roman" w:hAnsi="Times New Roman" w:cs="Times New Roman"/>
          <w:sz w:val="24"/>
        </w:rPr>
        <w:t xml:space="preserve">height </w:t>
      </w:r>
      <w:r w:rsidRPr="00547D4F">
        <w:rPr>
          <w:rFonts w:ascii="Times New Roman" w:hAnsi="Times New Roman" w:cs="Times New Roman"/>
          <w:sz w:val="24"/>
        </w:rPr>
        <w:t>and schooling outcomes in a wide range of settings. But Behrman ultimately critiques these studies for inadequately addressing issues of causality and omitted variables.</w:t>
      </w:r>
      <w:r>
        <w:rPr>
          <w:rFonts w:ascii="Times New Roman" w:hAnsi="Times New Roman" w:cs="Times New Roman"/>
          <w:sz w:val="24"/>
        </w:rPr>
        <w:t xml:space="preserve"> </w:t>
      </w:r>
      <w:r w:rsidRPr="00547D4F">
        <w:rPr>
          <w:rFonts w:ascii="Times New Roman" w:hAnsi="Times New Roman" w:cs="Times New Roman"/>
          <w:sz w:val="24"/>
        </w:rPr>
        <w:t xml:space="preserve">A few analyses published at the same time </w:t>
      </w:r>
      <w:r w:rsidRPr="00547D4F">
        <w:rPr>
          <w:rFonts w:ascii="Times New Roman" w:hAnsi="Times New Roman" w:cs="Times New Roman"/>
          <w:sz w:val="24"/>
        </w:rPr>
        <w:lastRenderedPageBreak/>
        <w:t xml:space="preserve">or after Behrman’s critique make some headway on these issues by focusing on within-family variation. </w:t>
      </w:r>
      <w:r>
        <w:rPr>
          <w:rFonts w:ascii="Times New Roman" w:hAnsi="Times New Roman" w:cs="Times New Roman"/>
          <w:sz w:val="24"/>
        </w:rPr>
        <w:t>[6]</w:t>
      </w:r>
      <w:r w:rsidRPr="00547D4F">
        <w:rPr>
          <w:rFonts w:ascii="Times New Roman" w:hAnsi="Times New Roman" w:cs="Times New Roman"/>
          <w:sz w:val="24"/>
        </w:rPr>
        <w:t xml:space="preserve"> Estimate models with family fixed effects, finding that shorter siblings start school later than their taller brothers and sisters. More recently, </w:t>
      </w:r>
      <w:r>
        <w:rPr>
          <w:rFonts w:ascii="Times New Roman" w:hAnsi="Times New Roman" w:cs="Times New Roman"/>
          <w:sz w:val="24"/>
        </w:rPr>
        <w:t>[7]</w:t>
      </w:r>
      <w:r w:rsidRPr="00547D4F">
        <w:rPr>
          <w:rFonts w:ascii="Times New Roman" w:hAnsi="Times New Roman" w:cs="Times New Roman"/>
          <w:sz w:val="24"/>
        </w:rPr>
        <w:t xml:space="preserve"> analyze twin pairs and sibling sets in Chile, showing that twins or siblings born at higher birth weight perform better on exams. Within-family comparisons of this type eliminate concerns about family-level omitted variables, although they leave some concern about how parents allocate scarce resources among children with observably different </w:t>
      </w:r>
      <w:r>
        <w:rPr>
          <w:rFonts w:ascii="Times New Roman" w:hAnsi="Times New Roman" w:cs="Times New Roman"/>
          <w:sz w:val="24"/>
        </w:rPr>
        <w:t>health fitness</w:t>
      </w:r>
      <w:r w:rsidRPr="00547D4F">
        <w:rPr>
          <w:rFonts w:ascii="Times New Roman" w:hAnsi="Times New Roman" w:cs="Times New Roman"/>
          <w:sz w:val="24"/>
        </w:rPr>
        <w:t>.</w:t>
      </w:r>
      <w:r>
        <w:rPr>
          <w:rFonts w:ascii="Times New Roman" w:hAnsi="Times New Roman" w:cs="Times New Roman"/>
          <w:sz w:val="24"/>
        </w:rPr>
        <w:t xml:space="preserve"> </w:t>
      </w:r>
    </w:p>
    <w:p w:rsidR="0008001C" w:rsidRDefault="0008001C" w:rsidP="00547D4F">
      <w:pPr>
        <w:jc w:val="both"/>
        <w:rPr>
          <w:rFonts w:ascii="Times New Roman" w:hAnsi="Times New Roman" w:cs="Times New Roman"/>
          <w:b/>
          <w:sz w:val="24"/>
        </w:rPr>
      </w:pPr>
      <w:r>
        <w:rPr>
          <w:rFonts w:ascii="Times New Roman" w:hAnsi="Times New Roman" w:cs="Times New Roman"/>
          <w:b/>
          <w:sz w:val="24"/>
        </w:rPr>
        <w:t>CONCLUSION:</w:t>
      </w:r>
    </w:p>
    <w:p w:rsidR="00B154A7" w:rsidRPr="00B154A7" w:rsidRDefault="00B154A7" w:rsidP="00B154A7">
      <w:pPr>
        <w:spacing w:line="360" w:lineRule="auto"/>
        <w:jc w:val="both"/>
        <w:rPr>
          <w:rFonts w:ascii="Times New Roman" w:hAnsi="Times New Roman" w:cs="Times New Roman"/>
          <w:sz w:val="24"/>
        </w:rPr>
      </w:pPr>
      <w:r w:rsidRPr="00B154A7">
        <w:rPr>
          <w:rFonts w:ascii="Times New Roman" w:hAnsi="Times New Roman" w:cs="Times New Roman"/>
          <w:sz w:val="24"/>
        </w:rPr>
        <w:t xml:space="preserve">The existing literature for one, the distinction between aggregate and individual educational attainment has received little consideration but is almost certainly relevant for </w:t>
      </w:r>
      <w:r w:rsidR="002D7419">
        <w:rPr>
          <w:rFonts w:ascii="Times New Roman" w:hAnsi="Times New Roman" w:cs="Times New Roman"/>
          <w:sz w:val="24"/>
        </w:rPr>
        <w:t>health fitness</w:t>
      </w:r>
      <w:r w:rsidRPr="00B154A7">
        <w:rPr>
          <w:rFonts w:ascii="Times New Roman" w:hAnsi="Times New Roman" w:cs="Times New Roman"/>
          <w:sz w:val="24"/>
        </w:rPr>
        <w:t xml:space="preserve"> systems in developing countries. How important is a country’s education system in producing </w:t>
      </w:r>
      <w:r w:rsidR="002D7419">
        <w:rPr>
          <w:rFonts w:ascii="Times New Roman" w:hAnsi="Times New Roman" w:cs="Times New Roman"/>
          <w:sz w:val="24"/>
        </w:rPr>
        <w:t>health fitness</w:t>
      </w:r>
      <w:r w:rsidRPr="00B154A7">
        <w:rPr>
          <w:rFonts w:ascii="Times New Roman" w:hAnsi="Times New Roman" w:cs="Times New Roman"/>
          <w:sz w:val="24"/>
        </w:rPr>
        <w:t xml:space="preserve"> professionals to support its</w:t>
      </w:r>
      <w:r>
        <w:rPr>
          <w:rFonts w:ascii="Times New Roman" w:hAnsi="Times New Roman" w:cs="Times New Roman"/>
          <w:sz w:val="24"/>
        </w:rPr>
        <w:t xml:space="preserve"> </w:t>
      </w:r>
      <w:r w:rsidR="002D7419">
        <w:rPr>
          <w:rFonts w:ascii="Times New Roman" w:hAnsi="Times New Roman" w:cs="Times New Roman"/>
          <w:sz w:val="24"/>
        </w:rPr>
        <w:t>health fitness</w:t>
      </w:r>
      <w:r w:rsidRPr="00B154A7">
        <w:rPr>
          <w:rFonts w:ascii="Times New Roman" w:hAnsi="Times New Roman" w:cs="Times New Roman"/>
          <w:sz w:val="24"/>
        </w:rPr>
        <w:t xml:space="preserve"> system? Additionally, the potential for the backwards intergenerational transmission of </w:t>
      </w:r>
      <w:r w:rsidR="002D7419">
        <w:rPr>
          <w:rFonts w:ascii="Times New Roman" w:hAnsi="Times New Roman" w:cs="Times New Roman"/>
          <w:sz w:val="24"/>
        </w:rPr>
        <w:t>health fitness</w:t>
      </w:r>
      <w:r w:rsidRPr="00B154A7">
        <w:rPr>
          <w:rFonts w:ascii="Times New Roman" w:hAnsi="Times New Roman" w:cs="Times New Roman"/>
          <w:sz w:val="24"/>
        </w:rPr>
        <w:t xml:space="preserve"> infor</w:t>
      </w:r>
      <w:r>
        <w:rPr>
          <w:rFonts w:ascii="Times New Roman" w:hAnsi="Times New Roman" w:cs="Times New Roman"/>
          <w:sz w:val="24"/>
        </w:rPr>
        <w:t xml:space="preserve">mation from children to parents </w:t>
      </w:r>
      <w:r w:rsidRPr="00B154A7">
        <w:rPr>
          <w:rFonts w:ascii="Times New Roman" w:hAnsi="Times New Roman" w:cs="Times New Roman"/>
          <w:sz w:val="24"/>
        </w:rPr>
        <w:t>remains underexplored.</w:t>
      </w:r>
      <w:r>
        <w:rPr>
          <w:rFonts w:ascii="Times New Roman" w:hAnsi="Times New Roman" w:cs="Times New Roman"/>
          <w:sz w:val="24"/>
        </w:rPr>
        <w:t xml:space="preserve"> </w:t>
      </w:r>
      <w:r w:rsidRPr="00B154A7">
        <w:rPr>
          <w:rFonts w:ascii="Times New Roman" w:hAnsi="Times New Roman" w:cs="Times New Roman"/>
          <w:sz w:val="24"/>
        </w:rPr>
        <w:t xml:space="preserve">Such information transmission could prove useful in combatting the rise of smoking and obesity in poor countries. Concerning intergenerational dynamics in the other direction, from parents to children, the literature would benefit from more focus on how parental behavior reinforces or compensates for exogenous changes in the </w:t>
      </w:r>
      <w:r w:rsidR="002D7419">
        <w:rPr>
          <w:rFonts w:ascii="Times New Roman" w:hAnsi="Times New Roman" w:cs="Times New Roman"/>
          <w:sz w:val="24"/>
        </w:rPr>
        <w:t>health fitness</w:t>
      </w:r>
      <w:r w:rsidRPr="00B154A7">
        <w:rPr>
          <w:rFonts w:ascii="Times New Roman" w:hAnsi="Times New Roman" w:cs="Times New Roman"/>
          <w:sz w:val="24"/>
        </w:rPr>
        <w:t xml:space="preserve"> environment or educational opportunity.</w:t>
      </w:r>
      <w:r>
        <w:rPr>
          <w:rFonts w:ascii="Times New Roman" w:hAnsi="Times New Roman" w:cs="Times New Roman"/>
          <w:sz w:val="24"/>
        </w:rPr>
        <w:t xml:space="preserve"> </w:t>
      </w:r>
      <w:r w:rsidRPr="00B154A7">
        <w:rPr>
          <w:rFonts w:ascii="Times New Roman" w:hAnsi="Times New Roman" w:cs="Times New Roman"/>
          <w:sz w:val="24"/>
        </w:rPr>
        <w:t xml:space="preserve">This last line of inquiry would place behavior back in the center of economic research on </w:t>
      </w:r>
      <w:r w:rsidR="002D7419">
        <w:rPr>
          <w:rFonts w:ascii="Times New Roman" w:hAnsi="Times New Roman" w:cs="Times New Roman"/>
          <w:sz w:val="24"/>
        </w:rPr>
        <w:t>health fitness</w:t>
      </w:r>
      <w:r w:rsidRPr="00B154A7">
        <w:rPr>
          <w:rFonts w:ascii="Times New Roman" w:hAnsi="Times New Roman" w:cs="Times New Roman"/>
          <w:sz w:val="24"/>
        </w:rPr>
        <w:t xml:space="preserve"> and education.</w:t>
      </w:r>
    </w:p>
    <w:p w:rsidR="00070909" w:rsidRDefault="00070909">
      <w:pPr>
        <w:rPr>
          <w:rFonts w:ascii="Times New Roman" w:hAnsi="Times New Roman" w:cs="Times New Roman"/>
          <w:b/>
          <w:sz w:val="24"/>
        </w:rPr>
      </w:pPr>
      <w:r>
        <w:rPr>
          <w:rFonts w:ascii="Times New Roman" w:hAnsi="Times New Roman" w:cs="Times New Roman"/>
          <w:b/>
          <w:sz w:val="24"/>
        </w:rPr>
        <w:br w:type="page"/>
      </w:r>
    </w:p>
    <w:p w:rsidR="0008001C" w:rsidRDefault="0008001C" w:rsidP="0008001C">
      <w:pPr>
        <w:jc w:val="both"/>
        <w:rPr>
          <w:rFonts w:ascii="Times New Roman" w:hAnsi="Times New Roman" w:cs="Times New Roman"/>
          <w:b/>
          <w:sz w:val="24"/>
        </w:rPr>
      </w:pPr>
      <w:r>
        <w:rPr>
          <w:rFonts w:ascii="Times New Roman" w:hAnsi="Times New Roman" w:cs="Times New Roman"/>
          <w:b/>
          <w:sz w:val="24"/>
        </w:rPr>
        <w:lastRenderedPageBreak/>
        <w:t>REFERENCES:</w:t>
      </w:r>
    </w:p>
    <w:p w:rsidR="00070909" w:rsidRPr="00070909" w:rsidRDefault="00070909" w:rsidP="00070909">
      <w:pPr>
        <w:spacing w:line="360" w:lineRule="auto"/>
        <w:jc w:val="both"/>
        <w:rPr>
          <w:rFonts w:ascii="Times New Roman" w:hAnsi="Times New Roman" w:cs="Times New Roman"/>
          <w:sz w:val="24"/>
        </w:rPr>
      </w:pPr>
      <w:r>
        <w:rPr>
          <w:rFonts w:ascii="Times New Roman" w:hAnsi="Times New Roman" w:cs="Times New Roman"/>
          <w:sz w:val="24"/>
        </w:rPr>
        <w:t xml:space="preserve">1. </w:t>
      </w:r>
      <w:r w:rsidRPr="00070909">
        <w:rPr>
          <w:rFonts w:ascii="Times New Roman" w:hAnsi="Times New Roman" w:cs="Times New Roman"/>
          <w:sz w:val="24"/>
        </w:rPr>
        <w:t xml:space="preserve">Adhvaryu, A.R., &amp; Nyshadham, A. (2012). “Endowments at birth and parents’ investments in </w:t>
      </w:r>
    </w:p>
    <w:p w:rsidR="00070909" w:rsidRPr="00070909" w:rsidRDefault="00070909" w:rsidP="00070909">
      <w:pPr>
        <w:spacing w:line="360" w:lineRule="auto"/>
        <w:jc w:val="both"/>
        <w:rPr>
          <w:rFonts w:ascii="Times New Roman" w:hAnsi="Times New Roman" w:cs="Times New Roman"/>
          <w:sz w:val="24"/>
        </w:rPr>
      </w:pPr>
      <w:r w:rsidRPr="00070909">
        <w:rPr>
          <w:rFonts w:ascii="Times New Roman" w:hAnsi="Times New Roman" w:cs="Times New Roman"/>
          <w:sz w:val="24"/>
        </w:rPr>
        <w:t>children.” Mimeo, Yale University.</w:t>
      </w:r>
    </w:p>
    <w:p w:rsidR="00070909" w:rsidRPr="00070909" w:rsidRDefault="00070909" w:rsidP="00070909">
      <w:pPr>
        <w:spacing w:line="360" w:lineRule="auto"/>
        <w:jc w:val="both"/>
        <w:rPr>
          <w:rFonts w:ascii="Times New Roman" w:hAnsi="Times New Roman" w:cs="Times New Roman"/>
          <w:sz w:val="24"/>
        </w:rPr>
      </w:pPr>
      <w:r>
        <w:rPr>
          <w:rFonts w:ascii="Times New Roman" w:hAnsi="Times New Roman" w:cs="Times New Roman"/>
          <w:sz w:val="24"/>
        </w:rPr>
        <w:t xml:space="preserve">2. </w:t>
      </w:r>
      <w:r w:rsidRPr="00070909">
        <w:rPr>
          <w:rFonts w:ascii="Times New Roman" w:hAnsi="Times New Roman" w:cs="Times New Roman"/>
          <w:sz w:val="24"/>
        </w:rPr>
        <w:t>Aizer, A., &amp; Cunha, F. (2012). “The production of human capital: endowments, investments and fertility.” National Bureau of Economic Research Working Paper 18429.</w:t>
      </w:r>
    </w:p>
    <w:p w:rsidR="00070909" w:rsidRDefault="00070909" w:rsidP="00070909">
      <w:pPr>
        <w:spacing w:line="360" w:lineRule="auto"/>
        <w:jc w:val="both"/>
        <w:rPr>
          <w:rFonts w:ascii="Times New Roman" w:hAnsi="Times New Roman" w:cs="Times New Roman"/>
          <w:sz w:val="24"/>
        </w:rPr>
      </w:pPr>
      <w:r>
        <w:rPr>
          <w:rFonts w:ascii="Times New Roman" w:hAnsi="Times New Roman" w:cs="Times New Roman"/>
          <w:sz w:val="24"/>
        </w:rPr>
        <w:t xml:space="preserve">3. </w:t>
      </w:r>
      <w:r w:rsidRPr="00070909">
        <w:rPr>
          <w:rFonts w:ascii="Times New Roman" w:hAnsi="Times New Roman" w:cs="Times New Roman"/>
          <w:sz w:val="24"/>
        </w:rPr>
        <w:t>Akresh, R., Bagby, E., De Walque, D., &amp; Kazianga, H. (2012).  “Child ability and household</w:t>
      </w:r>
      <w:r>
        <w:rPr>
          <w:rFonts w:ascii="Times New Roman" w:hAnsi="Times New Roman" w:cs="Times New Roman"/>
          <w:sz w:val="24"/>
        </w:rPr>
        <w:t xml:space="preserve"> </w:t>
      </w:r>
      <w:r w:rsidRPr="00070909">
        <w:rPr>
          <w:rFonts w:ascii="Times New Roman" w:hAnsi="Times New Roman" w:cs="Times New Roman"/>
          <w:sz w:val="24"/>
        </w:rPr>
        <w:t>human capital investment decisions in Burkina Faso.” Economic Development and Cultural Change 61(1): 157-186.</w:t>
      </w:r>
    </w:p>
    <w:p w:rsidR="00070909" w:rsidRDefault="00070909" w:rsidP="00070909">
      <w:pPr>
        <w:spacing w:line="360" w:lineRule="auto"/>
        <w:jc w:val="both"/>
        <w:rPr>
          <w:rFonts w:ascii="Times New Roman" w:hAnsi="Times New Roman" w:cs="Times New Roman"/>
          <w:sz w:val="24"/>
        </w:rPr>
      </w:pPr>
      <w:r>
        <w:rPr>
          <w:rFonts w:ascii="Times New Roman" w:hAnsi="Times New Roman" w:cs="Times New Roman"/>
          <w:sz w:val="24"/>
        </w:rPr>
        <w:t xml:space="preserve">4. </w:t>
      </w:r>
      <w:r w:rsidRPr="00070909">
        <w:rPr>
          <w:rFonts w:ascii="Times New Roman" w:hAnsi="Times New Roman" w:cs="Times New Roman"/>
          <w:sz w:val="24"/>
        </w:rPr>
        <w:t>Almond, D., &amp; Currie, J. (2011). “Human capital development before age five.” In  O. Ashenfelter and D. Card, eds., Handbook of Labor Economics, Vol. 4A. Amsterdam: North Holland, pp. 1315-1486.</w:t>
      </w:r>
    </w:p>
    <w:p w:rsidR="00070909" w:rsidRPr="00070909" w:rsidRDefault="00070909" w:rsidP="00070909">
      <w:pPr>
        <w:spacing w:line="360" w:lineRule="auto"/>
        <w:jc w:val="both"/>
        <w:rPr>
          <w:rFonts w:ascii="Times New Roman" w:hAnsi="Times New Roman" w:cs="Times New Roman"/>
          <w:sz w:val="24"/>
        </w:rPr>
      </w:pPr>
      <w:r>
        <w:rPr>
          <w:rFonts w:ascii="Times New Roman" w:hAnsi="Times New Roman" w:cs="Times New Roman"/>
          <w:sz w:val="24"/>
        </w:rPr>
        <w:t xml:space="preserve">5. </w:t>
      </w:r>
      <w:r w:rsidRPr="00070909">
        <w:rPr>
          <w:rFonts w:ascii="Times New Roman" w:hAnsi="Times New Roman" w:cs="Times New Roman"/>
          <w:sz w:val="24"/>
        </w:rPr>
        <w:t xml:space="preserve">Baird, S., Hicks, J.H., Kremer, M., &amp; Miguel, E. (2011).  “Worms at work: long-run impacts of child </w:t>
      </w:r>
      <w:r w:rsidR="002D7419">
        <w:rPr>
          <w:rFonts w:ascii="Times New Roman" w:hAnsi="Times New Roman" w:cs="Times New Roman"/>
          <w:sz w:val="24"/>
        </w:rPr>
        <w:t>health fitness</w:t>
      </w:r>
      <w:r w:rsidRPr="00070909">
        <w:rPr>
          <w:rFonts w:ascii="Times New Roman" w:hAnsi="Times New Roman" w:cs="Times New Roman"/>
          <w:sz w:val="24"/>
        </w:rPr>
        <w:t xml:space="preserve"> gains.” Mimeo, University of California, Berkeley.</w:t>
      </w:r>
    </w:p>
    <w:p w:rsidR="00070909" w:rsidRPr="00070909" w:rsidRDefault="00070909" w:rsidP="00070909">
      <w:pPr>
        <w:spacing w:line="360" w:lineRule="auto"/>
        <w:jc w:val="both"/>
        <w:rPr>
          <w:rFonts w:ascii="Times New Roman" w:hAnsi="Times New Roman" w:cs="Times New Roman"/>
          <w:sz w:val="24"/>
        </w:rPr>
      </w:pPr>
      <w:r>
        <w:rPr>
          <w:rFonts w:ascii="Times New Roman" w:hAnsi="Times New Roman" w:cs="Times New Roman"/>
          <w:sz w:val="24"/>
        </w:rPr>
        <w:t xml:space="preserve">6. </w:t>
      </w:r>
      <w:r w:rsidRPr="00070909">
        <w:rPr>
          <w:rFonts w:ascii="Times New Roman" w:hAnsi="Times New Roman" w:cs="Times New Roman"/>
          <w:sz w:val="24"/>
        </w:rPr>
        <w:t>Bandiera, O., N. Buehren, R. Burgess, M. Goldstein, S. Gulesci, I. Rasul &amp; M. Sulaiman. (2012). “Empowering  adolescent  girls:  Evidence from a  randomized  control  trial in Uganda.”</w:t>
      </w:r>
      <w:r>
        <w:rPr>
          <w:rFonts w:ascii="Times New Roman" w:hAnsi="Times New Roman" w:cs="Times New Roman"/>
          <w:sz w:val="24"/>
        </w:rPr>
        <w:t xml:space="preserve"> </w:t>
      </w:r>
      <w:r w:rsidRPr="00070909">
        <w:rPr>
          <w:rFonts w:ascii="Times New Roman" w:hAnsi="Times New Roman" w:cs="Times New Roman"/>
          <w:sz w:val="24"/>
        </w:rPr>
        <w:t xml:space="preserve">Mimeo, London School of Economics. </w:t>
      </w:r>
    </w:p>
    <w:p w:rsidR="00070909" w:rsidRPr="00070909" w:rsidRDefault="00070909" w:rsidP="00070909">
      <w:pPr>
        <w:spacing w:line="360" w:lineRule="auto"/>
        <w:jc w:val="both"/>
        <w:rPr>
          <w:rFonts w:ascii="Times New Roman" w:hAnsi="Times New Roman" w:cs="Times New Roman"/>
          <w:sz w:val="24"/>
        </w:rPr>
      </w:pPr>
      <w:r>
        <w:rPr>
          <w:rFonts w:ascii="Times New Roman" w:hAnsi="Times New Roman" w:cs="Times New Roman"/>
          <w:sz w:val="24"/>
        </w:rPr>
        <w:t xml:space="preserve">7. </w:t>
      </w:r>
      <w:r w:rsidRPr="00070909">
        <w:rPr>
          <w:rFonts w:ascii="Times New Roman" w:hAnsi="Times New Roman" w:cs="Times New Roman"/>
          <w:sz w:val="24"/>
        </w:rPr>
        <w:t>Barreca, A.I. (2010).  “The long-term economic impact of in utero and postnatal exposure to malaria.” Journal of Human Resources 45(4): 865-892.</w:t>
      </w:r>
    </w:p>
    <w:p w:rsidR="00070909" w:rsidRDefault="00070909" w:rsidP="00070909">
      <w:pPr>
        <w:spacing w:line="360" w:lineRule="auto"/>
        <w:jc w:val="both"/>
        <w:rPr>
          <w:rFonts w:ascii="Times New Roman" w:hAnsi="Times New Roman" w:cs="Times New Roman"/>
          <w:sz w:val="24"/>
        </w:rPr>
      </w:pPr>
      <w:r>
        <w:rPr>
          <w:rFonts w:ascii="Times New Roman" w:hAnsi="Times New Roman" w:cs="Times New Roman"/>
          <w:sz w:val="24"/>
        </w:rPr>
        <w:t xml:space="preserve">8. </w:t>
      </w:r>
      <w:r w:rsidRPr="00070909">
        <w:rPr>
          <w:rFonts w:ascii="Times New Roman" w:hAnsi="Times New Roman" w:cs="Times New Roman"/>
          <w:sz w:val="24"/>
        </w:rPr>
        <w:t>Barro, R.J., &amp; Lee, J.W. (2010). “A new data set of educational attainment in the world, 1950–2010.” National Bureau of Economic Research Working Paper 15902.</w:t>
      </w:r>
    </w:p>
    <w:p w:rsidR="00070909" w:rsidRDefault="00070909" w:rsidP="00070909">
      <w:pPr>
        <w:spacing w:line="360" w:lineRule="auto"/>
        <w:jc w:val="both"/>
        <w:rPr>
          <w:rFonts w:ascii="Times New Roman" w:hAnsi="Times New Roman" w:cs="Times New Roman"/>
          <w:sz w:val="24"/>
        </w:rPr>
      </w:pPr>
      <w:r>
        <w:rPr>
          <w:rFonts w:ascii="Times New Roman" w:hAnsi="Times New Roman" w:cs="Times New Roman"/>
          <w:sz w:val="24"/>
        </w:rPr>
        <w:t xml:space="preserve">9. </w:t>
      </w:r>
      <w:r w:rsidRPr="00070909">
        <w:rPr>
          <w:rFonts w:ascii="Times New Roman" w:hAnsi="Times New Roman" w:cs="Times New Roman"/>
          <w:sz w:val="24"/>
        </w:rPr>
        <w:t>Bharadwaj, P., Eberhard, J., &amp; Neilson, C. (2010). “Do initial endowments matter only initially?</w:t>
      </w:r>
      <w:r>
        <w:rPr>
          <w:rFonts w:ascii="Times New Roman" w:hAnsi="Times New Roman" w:cs="Times New Roman"/>
          <w:sz w:val="24"/>
        </w:rPr>
        <w:t xml:space="preserve"> </w:t>
      </w:r>
      <w:r w:rsidRPr="00070909">
        <w:rPr>
          <w:rFonts w:ascii="Times New Roman" w:hAnsi="Times New Roman" w:cs="Times New Roman"/>
          <w:sz w:val="24"/>
        </w:rPr>
        <w:t>The persistent effect of birth weight on school achievement.” University of California at San Diego Economics Working Paper 1562347.</w:t>
      </w:r>
    </w:p>
    <w:p w:rsidR="00070909" w:rsidRDefault="00070909" w:rsidP="00070909">
      <w:pPr>
        <w:spacing w:line="360" w:lineRule="auto"/>
        <w:jc w:val="both"/>
        <w:rPr>
          <w:rFonts w:ascii="Times New Roman" w:hAnsi="Times New Roman" w:cs="Times New Roman"/>
          <w:sz w:val="24"/>
        </w:rPr>
      </w:pPr>
      <w:r>
        <w:rPr>
          <w:rFonts w:ascii="Times New Roman" w:hAnsi="Times New Roman" w:cs="Times New Roman"/>
          <w:sz w:val="24"/>
        </w:rPr>
        <w:t xml:space="preserve">10. </w:t>
      </w:r>
      <w:r w:rsidRPr="00070909">
        <w:rPr>
          <w:rFonts w:ascii="Times New Roman" w:hAnsi="Times New Roman" w:cs="Times New Roman"/>
          <w:sz w:val="24"/>
        </w:rPr>
        <w:t>Björklund, A., &amp; Salvanes, K.G. (2011). “Education and family background: Mechanisms and policies.” In E. Hanushek and F. Welch, eds., Handbook of the Economics of Education, Vol. 3.</w:t>
      </w:r>
      <w:r>
        <w:rPr>
          <w:rFonts w:ascii="Times New Roman" w:hAnsi="Times New Roman" w:cs="Times New Roman"/>
          <w:sz w:val="24"/>
        </w:rPr>
        <w:t xml:space="preserve"> </w:t>
      </w:r>
      <w:r w:rsidRPr="00070909">
        <w:rPr>
          <w:rFonts w:ascii="Times New Roman" w:hAnsi="Times New Roman" w:cs="Times New Roman"/>
          <w:sz w:val="24"/>
        </w:rPr>
        <w:t>Amsterdam: North Holland, pp. 201-247.</w:t>
      </w:r>
    </w:p>
    <w:p w:rsidR="00070909" w:rsidRDefault="00070909" w:rsidP="00070909">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11. </w:t>
      </w:r>
      <w:r w:rsidRPr="00070909">
        <w:rPr>
          <w:rFonts w:ascii="Times New Roman" w:hAnsi="Times New Roman" w:cs="Times New Roman"/>
          <w:sz w:val="24"/>
        </w:rPr>
        <w:t>Bleakley, H. (2010). “Malaria eradication in the Americas: A retrospective analysis of childhood</w:t>
      </w:r>
      <w:r>
        <w:rPr>
          <w:rFonts w:ascii="Times New Roman" w:hAnsi="Times New Roman" w:cs="Times New Roman"/>
          <w:sz w:val="24"/>
        </w:rPr>
        <w:t xml:space="preserve"> </w:t>
      </w:r>
      <w:r w:rsidRPr="00070909">
        <w:rPr>
          <w:rFonts w:ascii="Times New Roman" w:hAnsi="Times New Roman" w:cs="Times New Roman"/>
          <w:sz w:val="24"/>
        </w:rPr>
        <w:t>exposure.” American Economic Journal: Applied Economics 2(2): 1-45.</w:t>
      </w:r>
    </w:p>
    <w:p w:rsidR="00070909" w:rsidRPr="00070909" w:rsidRDefault="00070909" w:rsidP="00070909">
      <w:pPr>
        <w:spacing w:line="360" w:lineRule="auto"/>
        <w:jc w:val="both"/>
        <w:rPr>
          <w:rFonts w:ascii="Times New Roman" w:hAnsi="Times New Roman" w:cs="Times New Roman"/>
          <w:sz w:val="24"/>
        </w:rPr>
      </w:pPr>
      <w:r>
        <w:rPr>
          <w:rFonts w:ascii="Times New Roman" w:hAnsi="Times New Roman" w:cs="Times New Roman"/>
          <w:sz w:val="24"/>
        </w:rPr>
        <w:t xml:space="preserve">12. </w:t>
      </w:r>
      <w:r w:rsidRPr="00070909">
        <w:rPr>
          <w:rFonts w:ascii="Times New Roman" w:hAnsi="Times New Roman" w:cs="Times New Roman"/>
          <w:sz w:val="24"/>
        </w:rPr>
        <w:t>Carvalho, L.S. (2012).  “Childhood circumstances and the intergenerational transmission of socioeconomic status.” Demography 49(3): 913-938.</w:t>
      </w:r>
    </w:p>
    <w:p w:rsidR="0008001C" w:rsidRDefault="0008001C" w:rsidP="0008001C">
      <w:pPr>
        <w:jc w:val="both"/>
        <w:rPr>
          <w:rFonts w:ascii="Times New Roman" w:hAnsi="Times New Roman" w:cs="Times New Roman"/>
          <w:b/>
          <w:sz w:val="24"/>
        </w:rPr>
      </w:pPr>
    </w:p>
    <w:p w:rsidR="0008001C" w:rsidRPr="0008001C" w:rsidRDefault="0008001C" w:rsidP="0008001C">
      <w:pPr>
        <w:jc w:val="both"/>
        <w:rPr>
          <w:rFonts w:ascii="Times New Roman" w:hAnsi="Times New Roman" w:cs="Times New Roman"/>
          <w:b/>
          <w:sz w:val="24"/>
        </w:rPr>
      </w:pPr>
    </w:p>
    <w:sectPr w:rsidR="0008001C" w:rsidRPr="0008001C" w:rsidSect="006B6A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6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FB9" w:rsidRDefault="00FA0FB9" w:rsidP="006B6A6E">
      <w:pPr>
        <w:spacing w:after="0" w:line="240" w:lineRule="auto"/>
      </w:pPr>
      <w:r>
        <w:separator/>
      </w:r>
    </w:p>
  </w:endnote>
  <w:endnote w:type="continuationSeparator" w:id="0">
    <w:p w:rsidR="00FA0FB9" w:rsidRDefault="00FA0FB9" w:rsidP="006B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6E" w:rsidRDefault="006B6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6E" w:rsidRPr="00F1056F" w:rsidRDefault="006B6A6E" w:rsidP="006B6A6E">
    <w:pPr>
      <w:pStyle w:val="Footer"/>
      <w:pBdr>
        <w:top w:val="thinThickSmallGap" w:sz="24" w:space="1" w:color="622423" w:themeColor="accent2" w:themeShade="7F"/>
      </w:pBdr>
      <w:jc w:val="both"/>
    </w:pPr>
    <w:bookmarkStart w:id="0" w:name="_GoBack"/>
    <w:bookmarkEnd w:id="0"/>
    <w:r w:rsidRPr="00C7229C">
      <w:rPr>
        <w:noProof/>
        <w:color w:val="7030A0"/>
        <w:sz w:val="30"/>
        <w:szCs w:val="30"/>
        <w:lang w:bidi="hi-IN"/>
      </w:rPr>
      <mc:AlternateContent>
        <mc:Choice Requires="wps">
          <w:drawing>
            <wp:anchor distT="0" distB="0" distL="114300" distR="114300" simplePos="0" relativeHeight="251658752" behindDoc="1" locked="1" layoutInCell="1" allowOverlap="1" wp14:anchorId="6050447E" wp14:editId="0260723D">
              <wp:simplePos x="0" y="0"/>
              <wp:positionH relativeFrom="margin">
                <wp:posOffset>0</wp:posOffset>
              </wp:positionH>
              <wp:positionV relativeFrom="page">
                <wp:posOffset>25311100</wp:posOffset>
              </wp:positionV>
              <wp:extent cx="45085" cy="5781040"/>
              <wp:effectExtent l="8573" t="0" r="1587" b="1588"/>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085" cy="5781040"/>
                      </a:xfrm>
                      <a:prstGeom prst="rect">
                        <a:avLst/>
                      </a:prstGeom>
                      <a:solidFill>
                        <a:srgbClr val="0070C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E16D" id="Rectangle 10" o:spid="_x0000_s1026" style="position:absolute;margin-left:0;margin-top:1993pt;width:3.55pt;height:455.2pt;rotation:-9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" fillcolor="#0070c0" stroked="f">
              <w10:wrap anchorx="margin" anchory="page"/>
              <w10:anchorlock/>
            </v:rect>
          </w:pict>
        </mc:Fallback>
      </mc:AlternateContent>
    </w:r>
    <w:r w:rsidRPr="00C7229C">
      <w:rPr>
        <w:sz w:val="20"/>
        <w:szCs w:val="20"/>
      </w:rPr>
      <w:t xml:space="preserve">Available </w:t>
    </w:r>
    <w:r>
      <w:rPr>
        <w:sz w:val="20"/>
        <w:szCs w:val="20"/>
      </w:rPr>
      <w:t>online:</w:t>
    </w:r>
    <w:r w:rsidRPr="00C7229C">
      <w:rPr>
        <w:sz w:val="20"/>
        <w:szCs w:val="20"/>
      </w:rPr>
      <w:t xml:space="preserve"> </w:t>
    </w:r>
    <w:r>
      <w:t xml:space="preserve"> </w:t>
    </w:r>
    <w:hyperlink r:id="rId1" w:history="1">
      <w:r w:rsidRPr="001841F7">
        <w:rPr>
          <w:rStyle w:val="Hyperlink"/>
        </w:rPr>
        <w:t>https://edupediapublications.org/journals/index.php/IJR/</w:t>
      </w:r>
    </w:hyperlink>
    <w:r>
      <w:t xml:space="preserve"> </w:t>
    </w:r>
    <w:r w:rsidRPr="00CB3535">
      <w:rPr>
        <w:rFonts w:asciiTheme="majorHAnsi" w:eastAsiaTheme="majorEastAsia" w:hAnsiTheme="majorHAnsi" w:cstheme="majorBidi"/>
        <w:sz w:val="20"/>
        <w:szCs w:val="20"/>
      </w:rPr>
      <w:ptab w:relativeTo="margin" w:alignment="right" w:leader="none"/>
    </w:r>
    <w:r w:rsidRPr="00F1056F">
      <w:rPr>
        <w:rFonts w:asciiTheme="majorHAnsi" w:eastAsiaTheme="majorEastAsia" w:hAnsiTheme="majorHAnsi" w:cstheme="majorBidi"/>
        <w:color w:val="7F7F7F" w:themeColor="background1" w:themeShade="7F"/>
        <w:spacing w:val="60"/>
        <w:sz w:val="20"/>
        <w:szCs w:val="20"/>
      </w:rPr>
      <w:t>Page</w:t>
    </w:r>
    <w:r w:rsidRPr="00F1056F">
      <w:rPr>
        <w:rFonts w:asciiTheme="majorHAnsi" w:eastAsiaTheme="majorEastAsia" w:hAnsiTheme="majorHAnsi" w:cstheme="majorBidi"/>
        <w:sz w:val="20"/>
        <w:szCs w:val="20"/>
      </w:rPr>
      <w:t xml:space="preserve"> | </w:t>
    </w:r>
    <w:r w:rsidRPr="00F1056F">
      <w:rPr>
        <w:rFonts w:asciiTheme="majorHAnsi" w:eastAsiaTheme="majorEastAsia" w:hAnsiTheme="majorHAnsi" w:cstheme="majorBidi"/>
        <w:sz w:val="20"/>
        <w:szCs w:val="20"/>
      </w:rPr>
      <w:fldChar w:fldCharType="begin"/>
    </w:r>
    <w:r w:rsidRPr="00F1056F">
      <w:rPr>
        <w:rFonts w:asciiTheme="majorHAnsi" w:eastAsiaTheme="majorEastAsia" w:hAnsiTheme="majorHAnsi" w:cstheme="majorBidi"/>
        <w:sz w:val="20"/>
        <w:szCs w:val="20"/>
      </w:rPr>
      <w:instrText xml:space="preserve"> PAGE   \* MERGEFORMAT </w:instrText>
    </w:r>
    <w:r w:rsidRPr="00F1056F">
      <w:rPr>
        <w:rFonts w:asciiTheme="majorHAnsi" w:eastAsiaTheme="majorEastAsia" w:hAnsiTheme="majorHAnsi" w:cstheme="majorBidi"/>
        <w:sz w:val="20"/>
        <w:szCs w:val="20"/>
      </w:rPr>
      <w:fldChar w:fldCharType="separate"/>
    </w:r>
    <w:r w:rsidR="00D0653A" w:rsidRPr="00D0653A">
      <w:rPr>
        <w:rFonts w:asciiTheme="majorHAnsi" w:eastAsiaTheme="majorEastAsia" w:hAnsiTheme="majorHAnsi" w:cstheme="majorBidi"/>
        <w:b/>
        <w:bCs/>
        <w:noProof/>
        <w:sz w:val="20"/>
        <w:szCs w:val="20"/>
      </w:rPr>
      <w:t>1642</w:t>
    </w:r>
    <w:r w:rsidRPr="00F1056F">
      <w:rPr>
        <w:rFonts w:asciiTheme="majorHAnsi" w:eastAsiaTheme="majorEastAsia" w:hAnsiTheme="majorHAnsi" w:cstheme="majorBidi"/>
        <w:b/>
        <w:bCs/>
        <w:noProof/>
        <w:sz w:val="20"/>
        <w:szCs w:val="20"/>
      </w:rPr>
      <w:fldChar w:fldCharType="end"/>
    </w:r>
    <w:r w:rsidRPr="00CB3535">
      <w:rPr>
        <w:rFonts w:asciiTheme="majorHAnsi" w:eastAsiaTheme="majorEastAsia" w:hAnsiTheme="majorHAnsi" w:cstheme="majorBidi"/>
        <w:sz w:val="20"/>
        <w:szCs w:val="20"/>
      </w:rPr>
      <w:ptab w:relativeTo="margin" w:alignment="right" w:leader="none"/>
    </w:r>
    <w:r>
      <w:t xml:space="preserve">  </w:t>
    </w:r>
  </w:p>
  <w:p w:rsidR="006B6A6E" w:rsidRDefault="006B6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6E" w:rsidRDefault="006B6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FB9" w:rsidRDefault="00FA0FB9" w:rsidP="006B6A6E">
      <w:pPr>
        <w:spacing w:after="0" w:line="240" w:lineRule="auto"/>
      </w:pPr>
      <w:r>
        <w:separator/>
      </w:r>
    </w:p>
  </w:footnote>
  <w:footnote w:type="continuationSeparator" w:id="0">
    <w:p w:rsidR="00FA0FB9" w:rsidRDefault="00FA0FB9" w:rsidP="006B6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6E" w:rsidRDefault="006B6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9681" w:type="dxa"/>
      <w:tblLook w:val="04A0" w:firstRow="1" w:lastRow="0" w:firstColumn="1" w:lastColumn="0" w:noHBand="0" w:noVBand="1"/>
    </w:tblPr>
    <w:tblGrid>
      <w:gridCol w:w="1980"/>
      <w:gridCol w:w="5031"/>
      <w:gridCol w:w="2670"/>
    </w:tblGrid>
    <w:tr w:rsidR="006B6A6E" w:rsidTr="009B2D10">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980" w:type="dxa"/>
        </w:tcPr>
        <w:p w:rsidR="006B6A6E" w:rsidRDefault="006B6A6E" w:rsidP="006B6A6E">
          <w:pPr>
            <w:pStyle w:val="Header"/>
            <w:tabs>
              <w:tab w:val="clear" w:pos="9360"/>
              <w:tab w:val="center" w:pos="142"/>
              <w:tab w:val="right" w:pos="2084"/>
            </w:tabs>
            <w:ind w:right="-333" w:firstLine="142"/>
            <w:rPr>
              <w:rFonts w:eastAsia="Times New Roman"/>
              <w:b w:val="0"/>
              <w:bCs w:val="0"/>
            </w:rPr>
          </w:pPr>
          <w:r>
            <w:rPr>
              <w:rFonts w:eastAsia="Times New Roman"/>
              <w:noProof/>
              <w:lang w:bidi="hi-IN"/>
            </w:rPr>
            <w:drawing>
              <wp:inline distT="0" distB="0" distL="0" distR="0" wp14:anchorId="7683A9EA" wp14:editId="341A77EF">
                <wp:extent cx="1000125" cy="670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jr logo large 4.png"/>
                        <pic:cNvPicPr/>
                      </pic:nvPicPr>
                      <pic:blipFill>
                        <a:blip r:embed="rId1">
                          <a:extLst>
                            <a:ext uri="{28A0092B-C50C-407E-A947-70E740481C1C}">
                              <a14:useLocalDpi xmlns:a14="http://schemas.microsoft.com/office/drawing/2010/main" val="0"/>
                            </a:ext>
                          </a:extLst>
                        </a:blip>
                        <a:stretch>
                          <a:fillRect/>
                        </a:stretch>
                      </pic:blipFill>
                      <pic:spPr>
                        <a:xfrm>
                          <a:off x="0" y="0"/>
                          <a:ext cx="1023938" cy="686946"/>
                        </a:xfrm>
                        <a:prstGeom prst="rect">
                          <a:avLst/>
                        </a:prstGeom>
                      </pic:spPr>
                    </pic:pic>
                  </a:graphicData>
                </a:graphic>
              </wp:inline>
            </w:drawing>
          </w:r>
        </w:p>
      </w:tc>
      <w:tc>
        <w:tcPr>
          <w:tcW w:w="5031" w:type="dxa"/>
        </w:tcPr>
        <w:p w:rsidR="006B6A6E" w:rsidRPr="00C7229C" w:rsidRDefault="006B6A6E" w:rsidP="006B6A6E">
          <w:pPr>
            <w:pStyle w:val="Header"/>
            <w:tabs>
              <w:tab w:val="clear" w:pos="4680"/>
              <w:tab w:val="center" w:pos="4815"/>
            </w:tabs>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5"/>
              <w:szCs w:val="25"/>
            </w:rPr>
          </w:pPr>
          <w:r w:rsidRPr="00C7229C">
            <w:rPr>
              <w:rFonts w:eastAsia="Times New Roman"/>
              <w:color w:val="002060"/>
              <w:sz w:val="30"/>
              <w:szCs w:val="30"/>
            </w:rPr>
            <w:t>International Journal</w:t>
          </w:r>
          <w:r w:rsidRPr="00C7229C">
            <w:rPr>
              <w:noProof/>
              <w:color w:val="7030A0"/>
              <w:sz w:val="30"/>
              <w:szCs w:val="30"/>
              <w:lang w:bidi="hi-IN"/>
            </w:rPr>
            <mc:AlternateContent>
              <mc:Choice Requires="wps">
                <w:drawing>
                  <wp:anchor distT="0" distB="0" distL="114300" distR="114300" simplePos="0" relativeHeight="251657728" behindDoc="1" locked="1" layoutInCell="1" allowOverlap="1" wp14:anchorId="7677E476" wp14:editId="70847E7F">
                    <wp:simplePos x="0" y="0"/>
                    <wp:positionH relativeFrom="margin">
                      <wp:posOffset>1518920</wp:posOffset>
                    </wp:positionH>
                    <wp:positionV relativeFrom="page">
                      <wp:posOffset>-2219960</wp:posOffset>
                    </wp:positionV>
                    <wp:extent cx="45085" cy="5781040"/>
                    <wp:effectExtent l="8573" t="0" r="1587" b="1588"/>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085" cy="5781040"/>
                            </a:xfrm>
                            <a:prstGeom prst="rect">
                              <a:avLst/>
                            </a:prstGeom>
                            <a:solidFill>
                              <a:srgbClr val="0070C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B7F15" id="Rectangle 9" o:spid="_x0000_s1026" style="position:absolute;margin-left:119.6pt;margin-top:-174.8pt;width:3.55pt;height:455.2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" fillcolor="#0070c0" stroked="f">
                    <w10:wrap anchorx="margin" anchory="page"/>
                    <w10:anchorlock/>
                  </v:rect>
                </w:pict>
              </mc:Fallback>
            </mc:AlternateContent>
          </w:r>
          <w:r w:rsidRPr="00C7229C">
            <w:rPr>
              <w:rFonts w:eastAsia="Times New Roman"/>
              <w:color w:val="002060"/>
              <w:sz w:val="30"/>
              <w:szCs w:val="30"/>
            </w:rPr>
            <w:t xml:space="preserve"> of Research</w:t>
          </w:r>
          <w:r>
            <w:rPr>
              <w:rFonts w:eastAsia="Times New Roman"/>
              <w:color w:val="002060"/>
              <w:sz w:val="30"/>
              <w:szCs w:val="30"/>
            </w:rPr>
            <w:t xml:space="preserve"> </w:t>
          </w:r>
          <w:r>
            <w:rPr>
              <w:sz w:val="20"/>
              <w:szCs w:val="20"/>
            </w:rPr>
            <w:t xml:space="preserve">Available at </w:t>
          </w:r>
          <w:hyperlink r:id="rId2" w:history="1">
            <w:r w:rsidRPr="006902D6">
              <w:rPr>
                <w:rStyle w:val="Hyperlink"/>
                <w:sz w:val="20"/>
                <w:szCs w:val="20"/>
              </w:rPr>
              <w:t>https://edupediapublications.org/journals</w:t>
            </w:r>
          </w:hyperlink>
        </w:p>
      </w:tc>
      <w:tc>
        <w:tcPr>
          <w:tcW w:w="2670" w:type="dxa"/>
        </w:tcPr>
        <w:p w:rsidR="006B6A6E" w:rsidRDefault="006B6A6E" w:rsidP="006B6A6E">
          <w:pPr>
            <w:ind w:right="1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e-</w:t>
          </w:r>
          <w:r w:rsidRPr="001F31C5">
            <w:rPr>
              <w:sz w:val="20"/>
              <w:szCs w:val="20"/>
            </w:rPr>
            <w:t>ISSN: 2348-</w:t>
          </w:r>
          <w:r>
            <w:rPr>
              <w:sz w:val="20"/>
              <w:szCs w:val="20"/>
            </w:rPr>
            <w:t xml:space="preserve">6848 </w:t>
          </w:r>
        </w:p>
        <w:p w:rsidR="006B6A6E" w:rsidRDefault="006B6A6E" w:rsidP="006B6A6E">
          <w:pPr>
            <w:ind w:right="1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p-</w:t>
          </w:r>
          <w:r w:rsidRPr="001F31C5">
            <w:rPr>
              <w:sz w:val="20"/>
              <w:szCs w:val="20"/>
            </w:rPr>
            <w:t>ISSN: 23</w:t>
          </w:r>
          <w:r>
            <w:rPr>
              <w:sz w:val="20"/>
              <w:szCs w:val="20"/>
            </w:rPr>
            <w:t>48</w:t>
          </w:r>
          <w:r w:rsidRPr="001F31C5">
            <w:rPr>
              <w:sz w:val="20"/>
              <w:szCs w:val="20"/>
            </w:rPr>
            <w:t>-</w:t>
          </w:r>
          <w:r>
            <w:rPr>
              <w:sz w:val="20"/>
              <w:szCs w:val="20"/>
            </w:rPr>
            <w:t xml:space="preserve">795X </w:t>
          </w:r>
        </w:p>
        <w:p w:rsidR="006B6A6E" w:rsidRDefault="006B6A6E" w:rsidP="006B6A6E">
          <w:pPr>
            <w:ind w:right="10"/>
            <w:jc w:val="center"/>
            <w:cnfStyle w:val="100000000000" w:firstRow="1" w:lastRow="0" w:firstColumn="0" w:lastColumn="0" w:oddVBand="0" w:evenVBand="0" w:oddHBand="0" w:evenHBand="0" w:firstRowFirstColumn="0" w:firstRowLastColumn="0" w:lastRowFirstColumn="0" w:lastRowLastColumn="0"/>
            <w:rPr>
              <w:b w:val="0"/>
              <w:bCs w:val="0"/>
              <w:sz w:val="20"/>
              <w:szCs w:val="20"/>
              <w:lang w:bidi="hi-IN"/>
            </w:rPr>
          </w:pPr>
          <w:r>
            <w:rPr>
              <w:sz w:val="20"/>
              <w:szCs w:val="20"/>
            </w:rPr>
            <w:t>Volume 04  Issue 08</w:t>
          </w:r>
        </w:p>
        <w:p w:rsidR="006B6A6E" w:rsidRPr="001F31C5" w:rsidRDefault="006B6A6E" w:rsidP="006B6A6E">
          <w:pPr>
            <w:ind w:right="1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lang w:bidi="hi-IN"/>
            </w:rPr>
            <w:t>July 2017</w:t>
          </w:r>
        </w:p>
      </w:tc>
    </w:tr>
  </w:tbl>
  <w:p w:rsidR="006B6A6E" w:rsidRPr="003C30F1" w:rsidRDefault="006B6A6E" w:rsidP="006B6A6E">
    <w:pPr>
      <w:pStyle w:val="Header"/>
    </w:pPr>
    <w:r>
      <w:t xml:space="preserve">  </w:t>
    </w:r>
  </w:p>
  <w:p w:rsidR="006B6A6E" w:rsidRDefault="006B6A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6E" w:rsidRDefault="006B6A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1C"/>
    <w:rsid w:val="00020185"/>
    <w:rsid w:val="00070909"/>
    <w:rsid w:val="0008001C"/>
    <w:rsid w:val="000C6E95"/>
    <w:rsid w:val="00224CD3"/>
    <w:rsid w:val="002D1525"/>
    <w:rsid w:val="002D7419"/>
    <w:rsid w:val="00547D4F"/>
    <w:rsid w:val="006B6A6E"/>
    <w:rsid w:val="00892087"/>
    <w:rsid w:val="00A05ED8"/>
    <w:rsid w:val="00B154A7"/>
    <w:rsid w:val="00B50718"/>
    <w:rsid w:val="00BB3014"/>
    <w:rsid w:val="00C7190C"/>
    <w:rsid w:val="00CF6F14"/>
    <w:rsid w:val="00D0653A"/>
    <w:rsid w:val="00FA0FB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D1B26-66D7-437B-940A-F9D57D5B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D4F"/>
    <w:rPr>
      <w:rFonts w:ascii="Tahoma" w:hAnsi="Tahoma" w:cs="Tahoma"/>
      <w:sz w:val="16"/>
      <w:szCs w:val="16"/>
    </w:rPr>
  </w:style>
  <w:style w:type="paragraph" w:styleId="ListParagraph">
    <w:name w:val="List Paragraph"/>
    <w:basedOn w:val="Normal"/>
    <w:uiPriority w:val="34"/>
    <w:qFormat/>
    <w:rsid w:val="00070909"/>
    <w:pPr>
      <w:ind w:left="720"/>
      <w:contextualSpacing/>
    </w:pPr>
  </w:style>
  <w:style w:type="paragraph" w:styleId="Header">
    <w:name w:val="header"/>
    <w:basedOn w:val="Normal"/>
    <w:link w:val="HeaderChar"/>
    <w:uiPriority w:val="99"/>
    <w:unhideWhenUsed/>
    <w:rsid w:val="006B6A6E"/>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B6A6E"/>
  </w:style>
  <w:style w:type="paragraph" w:styleId="Footer">
    <w:name w:val="footer"/>
    <w:basedOn w:val="Normal"/>
    <w:link w:val="FooterChar"/>
    <w:uiPriority w:val="99"/>
    <w:unhideWhenUsed/>
    <w:qFormat/>
    <w:rsid w:val="006B6A6E"/>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6B6A6E"/>
  </w:style>
  <w:style w:type="character" w:styleId="Hyperlink">
    <w:name w:val="Hyperlink"/>
    <w:basedOn w:val="DefaultParagraphFont"/>
    <w:unhideWhenUsed/>
    <w:qFormat/>
    <w:rsid w:val="006B6A6E"/>
    <w:rPr>
      <w:color w:val="0000FF" w:themeColor="hyperlink"/>
      <w:u w:val="single"/>
    </w:rPr>
  </w:style>
  <w:style w:type="table" w:styleId="PlainTable4">
    <w:name w:val="Plain Table 4"/>
    <w:basedOn w:val="TableNormal"/>
    <w:uiPriority w:val="44"/>
    <w:rsid w:val="006B6A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dupediapublications.org/journals/index.php/IJ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edupediapublications.org/journal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pc</cp:lastModifiedBy>
  <cp:revision>50</cp:revision>
  <cp:lastPrinted>2018-02-11T11:24:00Z</cp:lastPrinted>
  <dcterms:created xsi:type="dcterms:W3CDTF">2017-10-27T06:28:00Z</dcterms:created>
  <dcterms:modified xsi:type="dcterms:W3CDTF">2018-02-11T11:27:00Z</dcterms:modified>
</cp:coreProperties>
</file>